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B165" w14:textId="14E82395" w:rsidR="004F0E2C" w:rsidRPr="00012B5A" w:rsidRDefault="004F0E2C" w:rsidP="004F0E2C">
      <w:pPr>
        <w:jc w:val="center"/>
        <w:rPr>
          <w:rFonts w:cs="Times New Roman"/>
          <w:b/>
          <w:bCs/>
          <w:szCs w:val="24"/>
        </w:rPr>
      </w:pPr>
      <w:r w:rsidRPr="00012B5A">
        <w:rPr>
          <w:rFonts w:cs="Times New Roman"/>
          <w:b/>
          <w:bCs/>
          <w:szCs w:val="24"/>
        </w:rPr>
        <w:t>Technische Hochschule Köln in Kooperation mit der</w:t>
      </w:r>
    </w:p>
    <w:p w14:paraId="38EA5EBC" w14:textId="77777777" w:rsidR="004F0E2C" w:rsidRPr="00012B5A" w:rsidRDefault="004F0E2C" w:rsidP="004F0E2C">
      <w:pPr>
        <w:jc w:val="center"/>
        <w:rPr>
          <w:rFonts w:cs="Times New Roman"/>
          <w:b/>
          <w:bCs/>
          <w:szCs w:val="24"/>
        </w:rPr>
      </w:pPr>
      <w:r w:rsidRPr="00012B5A">
        <w:rPr>
          <w:rFonts w:cs="Times New Roman"/>
          <w:b/>
          <w:bCs/>
          <w:szCs w:val="24"/>
        </w:rPr>
        <w:t>Institut der deutschen Wirtschaft Köln Akademie</w:t>
      </w:r>
    </w:p>
    <w:p w14:paraId="1241337B" w14:textId="77777777" w:rsidR="004F0E2C" w:rsidRPr="00012B5A" w:rsidRDefault="004F0E2C" w:rsidP="004F0E2C">
      <w:pPr>
        <w:jc w:val="center"/>
        <w:rPr>
          <w:rFonts w:cs="Times New Roman"/>
          <w:szCs w:val="24"/>
          <w:lang w:val="en-GB"/>
        </w:rPr>
      </w:pPr>
      <w:r w:rsidRPr="00012B5A">
        <w:rPr>
          <w:rFonts w:cs="Times New Roman"/>
          <w:szCs w:val="24"/>
          <w:lang w:val="en-GB"/>
        </w:rPr>
        <w:t>MA Behavioural Ethics, Economics and Psychology</w:t>
      </w:r>
    </w:p>
    <w:p w14:paraId="6A60BFB6" w14:textId="77777777" w:rsidR="004F0E2C" w:rsidRPr="00012B5A" w:rsidRDefault="004F0E2C" w:rsidP="004F0E2C">
      <w:pPr>
        <w:jc w:val="center"/>
        <w:rPr>
          <w:rFonts w:cs="Times New Roman"/>
          <w:szCs w:val="24"/>
          <w:lang w:val="en-GB"/>
        </w:rPr>
      </w:pPr>
    </w:p>
    <w:p w14:paraId="63FE2427" w14:textId="77777777" w:rsidR="004F0E2C" w:rsidRPr="00012B5A" w:rsidRDefault="004F0E2C" w:rsidP="004F0E2C">
      <w:pPr>
        <w:jc w:val="center"/>
        <w:rPr>
          <w:rFonts w:cs="Times New Roman"/>
          <w:szCs w:val="24"/>
          <w:lang w:val="en-GB"/>
        </w:rPr>
      </w:pPr>
    </w:p>
    <w:p w14:paraId="27BDDE6F" w14:textId="1EC3B4E2" w:rsidR="004F0E2C" w:rsidRPr="00D3729E" w:rsidRDefault="004F0E2C" w:rsidP="004F0E2C">
      <w:pPr>
        <w:jc w:val="center"/>
        <w:rPr>
          <w:rFonts w:cs="Times New Roman"/>
          <w:szCs w:val="24"/>
          <w:lang w:val="en-GB"/>
        </w:rPr>
      </w:pPr>
      <w:r>
        <w:rPr>
          <w:rFonts w:cs="Times New Roman"/>
          <w:szCs w:val="24"/>
          <w:lang w:val="en-GB"/>
        </w:rPr>
        <w:t>Masterarbeit</w:t>
      </w:r>
    </w:p>
    <w:p w14:paraId="3A0B223D" w14:textId="77777777" w:rsidR="004F0E2C" w:rsidRPr="00D3729E" w:rsidRDefault="004F0E2C" w:rsidP="004F0E2C">
      <w:pPr>
        <w:jc w:val="center"/>
        <w:rPr>
          <w:rFonts w:cs="Times New Roman"/>
          <w:szCs w:val="24"/>
          <w:lang w:val="en-GB"/>
        </w:rPr>
      </w:pPr>
    </w:p>
    <w:p w14:paraId="582D56CD" w14:textId="77777777" w:rsidR="004F0E2C" w:rsidRPr="00D3729E" w:rsidRDefault="004F0E2C" w:rsidP="004F0E2C">
      <w:pPr>
        <w:jc w:val="center"/>
        <w:rPr>
          <w:rFonts w:cs="Times New Roman"/>
          <w:szCs w:val="24"/>
          <w:lang w:val="en-GB"/>
        </w:rPr>
      </w:pPr>
    </w:p>
    <w:p w14:paraId="5E67CBBD" w14:textId="52293AB2" w:rsidR="004F0E2C" w:rsidRDefault="004F0E2C" w:rsidP="004F0E2C">
      <w:pPr>
        <w:jc w:val="center"/>
        <w:rPr>
          <w:rFonts w:cs="Times New Roman"/>
          <w:b/>
          <w:bCs/>
          <w:szCs w:val="24"/>
          <w:lang w:val="en-GB"/>
        </w:rPr>
      </w:pPr>
      <w:r>
        <w:rPr>
          <w:rFonts w:cs="Times New Roman"/>
          <w:b/>
          <w:bCs/>
          <w:szCs w:val="24"/>
          <w:lang w:val="en-GB"/>
        </w:rPr>
        <w:t>CSR in Tourism</w:t>
      </w:r>
    </w:p>
    <w:p w14:paraId="4F00069F" w14:textId="77777777" w:rsidR="004F0E2C" w:rsidRPr="00EC130B" w:rsidRDefault="004F0E2C" w:rsidP="004F0E2C">
      <w:pPr>
        <w:jc w:val="center"/>
        <w:rPr>
          <w:rFonts w:cs="Times New Roman"/>
          <w:b/>
          <w:bCs/>
          <w:color w:val="7030A0"/>
          <w:szCs w:val="24"/>
          <w:lang w:val="en-GB"/>
        </w:rPr>
      </w:pPr>
    </w:p>
    <w:p w14:paraId="4F0AF05B" w14:textId="77777777" w:rsidR="004F0E2C" w:rsidRPr="00EC130B" w:rsidRDefault="004F0E2C" w:rsidP="004F0E2C">
      <w:pPr>
        <w:jc w:val="center"/>
        <w:rPr>
          <w:rFonts w:cs="Times New Roman"/>
          <w:b/>
          <w:bCs/>
          <w:color w:val="7030A0"/>
          <w:szCs w:val="24"/>
          <w:lang w:val="en-GB"/>
        </w:rPr>
      </w:pPr>
    </w:p>
    <w:p w14:paraId="15923E81" w14:textId="72C2C17A" w:rsidR="004F0E2C" w:rsidRDefault="004F0E2C" w:rsidP="004F0E2C">
      <w:pPr>
        <w:jc w:val="center"/>
        <w:rPr>
          <w:rFonts w:cs="Times New Roman"/>
          <w:color w:val="000000" w:themeColor="text1"/>
          <w:szCs w:val="24"/>
        </w:rPr>
      </w:pPr>
      <w:r>
        <w:rPr>
          <w:rFonts w:cs="Times New Roman"/>
          <w:color w:val="000000" w:themeColor="text1"/>
          <w:szCs w:val="24"/>
        </w:rPr>
        <w:t>Sommersemester</w:t>
      </w:r>
      <w:r w:rsidRPr="006E2D17">
        <w:rPr>
          <w:rFonts w:cs="Times New Roman"/>
          <w:color w:val="000000" w:themeColor="text1"/>
          <w:szCs w:val="24"/>
        </w:rPr>
        <w:t xml:space="preserve"> 202</w:t>
      </w:r>
      <w:r>
        <w:rPr>
          <w:rFonts w:cs="Times New Roman"/>
          <w:color w:val="000000" w:themeColor="text1"/>
          <w:szCs w:val="24"/>
        </w:rPr>
        <w:t>3</w:t>
      </w:r>
    </w:p>
    <w:p w14:paraId="13E7707F" w14:textId="77777777" w:rsidR="004F0E2C" w:rsidRDefault="004F0E2C" w:rsidP="004F0E2C">
      <w:pPr>
        <w:jc w:val="center"/>
        <w:rPr>
          <w:rFonts w:cs="Times New Roman"/>
          <w:color w:val="000000" w:themeColor="text1"/>
          <w:szCs w:val="24"/>
        </w:rPr>
      </w:pPr>
    </w:p>
    <w:p w14:paraId="389DC5AD" w14:textId="77777777" w:rsidR="004F0E2C" w:rsidRDefault="004F0E2C" w:rsidP="004F0E2C">
      <w:pPr>
        <w:jc w:val="center"/>
        <w:rPr>
          <w:rFonts w:cs="Times New Roman"/>
          <w:color w:val="000000" w:themeColor="text1"/>
          <w:szCs w:val="24"/>
        </w:rPr>
      </w:pPr>
    </w:p>
    <w:p w14:paraId="4AAFA775" w14:textId="77777777" w:rsidR="004F0E2C" w:rsidRDefault="004F0E2C" w:rsidP="004F0E2C">
      <w:pPr>
        <w:jc w:val="center"/>
        <w:rPr>
          <w:rFonts w:cs="Times New Roman"/>
          <w:color w:val="000000" w:themeColor="text1"/>
          <w:szCs w:val="24"/>
        </w:rPr>
      </w:pPr>
    </w:p>
    <w:p w14:paraId="17AD12D7" w14:textId="77777777" w:rsidR="004F0E2C" w:rsidRDefault="004F0E2C" w:rsidP="004F0E2C">
      <w:pPr>
        <w:jc w:val="center"/>
        <w:rPr>
          <w:rFonts w:cs="Times New Roman"/>
          <w:color w:val="000000" w:themeColor="text1"/>
          <w:szCs w:val="24"/>
        </w:rPr>
      </w:pPr>
    </w:p>
    <w:p w14:paraId="72BFAD10" w14:textId="77777777" w:rsidR="004F0E2C" w:rsidRDefault="004F0E2C" w:rsidP="004F0E2C">
      <w:pPr>
        <w:jc w:val="center"/>
        <w:rPr>
          <w:rFonts w:cs="Times New Roman"/>
          <w:color w:val="000000" w:themeColor="text1"/>
          <w:szCs w:val="24"/>
        </w:rPr>
      </w:pPr>
    </w:p>
    <w:p w14:paraId="64C547DC" w14:textId="77777777" w:rsidR="004F0E2C" w:rsidRDefault="004F0E2C" w:rsidP="004F0E2C">
      <w:pPr>
        <w:jc w:val="center"/>
        <w:rPr>
          <w:rFonts w:cs="Times New Roman"/>
          <w:color w:val="000000" w:themeColor="text1"/>
          <w:szCs w:val="24"/>
        </w:rPr>
      </w:pPr>
    </w:p>
    <w:p w14:paraId="7C4F9A87" w14:textId="77777777" w:rsidR="004F0E2C" w:rsidRDefault="004F0E2C" w:rsidP="004F0E2C">
      <w:pPr>
        <w:jc w:val="center"/>
        <w:rPr>
          <w:rFonts w:cs="Times New Roman"/>
          <w:color w:val="000000" w:themeColor="text1"/>
          <w:szCs w:val="24"/>
        </w:rPr>
      </w:pPr>
    </w:p>
    <w:p w14:paraId="073E3E55" w14:textId="77777777" w:rsidR="004F0E2C" w:rsidRDefault="004F0E2C" w:rsidP="004F0E2C">
      <w:pPr>
        <w:jc w:val="center"/>
        <w:rPr>
          <w:rFonts w:cs="Times New Roman"/>
          <w:color w:val="000000" w:themeColor="text1"/>
          <w:szCs w:val="24"/>
        </w:rPr>
      </w:pPr>
    </w:p>
    <w:tbl>
      <w:tblPr>
        <w:tblStyle w:val="Tabellenraster"/>
        <w:tblW w:w="0" w:type="auto"/>
        <w:tblLook w:val="04A0" w:firstRow="1" w:lastRow="0" w:firstColumn="1" w:lastColumn="0" w:noHBand="0" w:noVBand="1"/>
      </w:tblPr>
      <w:tblGrid>
        <w:gridCol w:w="4531"/>
        <w:gridCol w:w="4531"/>
      </w:tblGrid>
      <w:tr w:rsidR="004F0E2C" w:rsidRPr="00012B5A" w14:paraId="497BB6C5" w14:textId="77777777" w:rsidTr="00A62EF7">
        <w:tc>
          <w:tcPr>
            <w:tcW w:w="4531" w:type="dxa"/>
          </w:tcPr>
          <w:p w14:paraId="2B31F800" w14:textId="77777777" w:rsidR="004F0E2C" w:rsidRPr="00012B5A" w:rsidRDefault="004F0E2C" w:rsidP="004F0E2C">
            <w:pPr>
              <w:spacing w:line="360" w:lineRule="auto"/>
              <w:jc w:val="center"/>
              <w:rPr>
                <w:rFonts w:cs="Times New Roman"/>
                <w:color w:val="000000" w:themeColor="text1"/>
                <w:sz w:val="24"/>
                <w:szCs w:val="24"/>
              </w:rPr>
            </w:pPr>
            <w:r w:rsidRPr="00012B5A">
              <w:rPr>
                <w:rFonts w:cs="Times New Roman"/>
                <w:color w:val="000000" w:themeColor="text1"/>
                <w:sz w:val="24"/>
                <w:szCs w:val="24"/>
              </w:rPr>
              <w:t>Dana Leidel</w:t>
            </w:r>
          </w:p>
          <w:p w14:paraId="3703D4FE" w14:textId="77777777" w:rsidR="004F0E2C" w:rsidRPr="00012B5A" w:rsidRDefault="004F0E2C" w:rsidP="004F0E2C">
            <w:pPr>
              <w:spacing w:line="360" w:lineRule="auto"/>
              <w:jc w:val="center"/>
              <w:rPr>
                <w:rFonts w:cs="Times New Roman"/>
                <w:color w:val="000000" w:themeColor="text1"/>
                <w:sz w:val="24"/>
                <w:szCs w:val="24"/>
              </w:rPr>
            </w:pPr>
            <w:r w:rsidRPr="00012B5A">
              <w:rPr>
                <w:rFonts w:cs="Times New Roman"/>
                <w:color w:val="000000" w:themeColor="text1"/>
                <w:sz w:val="24"/>
                <w:szCs w:val="24"/>
              </w:rPr>
              <w:t>Am Alten Stellewerk 26</w:t>
            </w:r>
          </w:p>
          <w:p w14:paraId="290EE892" w14:textId="77777777" w:rsidR="004F0E2C" w:rsidRPr="00012B5A" w:rsidRDefault="004F0E2C" w:rsidP="004F0E2C">
            <w:pPr>
              <w:spacing w:line="360" w:lineRule="auto"/>
              <w:jc w:val="center"/>
              <w:rPr>
                <w:rFonts w:cs="Times New Roman"/>
                <w:color w:val="000000" w:themeColor="text1"/>
                <w:sz w:val="24"/>
                <w:szCs w:val="24"/>
              </w:rPr>
            </w:pPr>
            <w:r w:rsidRPr="00012B5A">
              <w:rPr>
                <w:rFonts w:cs="Times New Roman"/>
                <w:color w:val="000000" w:themeColor="text1"/>
                <w:sz w:val="24"/>
                <w:szCs w:val="24"/>
              </w:rPr>
              <w:t>50733 Köln</w:t>
            </w:r>
          </w:p>
          <w:p w14:paraId="3BFCE9C7" w14:textId="77777777" w:rsidR="004F0E2C" w:rsidRPr="00012B5A" w:rsidRDefault="004F0E2C" w:rsidP="004F0E2C">
            <w:pPr>
              <w:spacing w:line="360" w:lineRule="auto"/>
              <w:jc w:val="center"/>
              <w:rPr>
                <w:rFonts w:cs="Times New Roman"/>
                <w:color w:val="000000" w:themeColor="text1"/>
                <w:sz w:val="24"/>
                <w:szCs w:val="24"/>
              </w:rPr>
            </w:pPr>
            <w:r w:rsidRPr="00012B5A">
              <w:rPr>
                <w:rFonts w:cs="Times New Roman"/>
                <w:color w:val="000000" w:themeColor="text1"/>
                <w:sz w:val="24"/>
                <w:szCs w:val="24"/>
              </w:rPr>
              <w:t>Telefon: 0171 4909826</w:t>
            </w:r>
          </w:p>
          <w:p w14:paraId="70A14EBB" w14:textId="77777777" w:rsidR="004F0E2C" w:rsidRPr="00A773A0" w:rsidRDefault="004F0E2C" w:rsidP="004F0E2C">
            <w:pPr>
              <w:spacing w:line="360" w:lineRule="auto"/>
              <w:jc w:val="center"/>
              <w:rPr>
                <w:rFonts w:cs="Times New Roman"/>
                <w:color w:val="000000" w:themeColor="text1"/>
                <w:sz w:val="24"/>
                <w:szCs w:val="24"/>
              </w:rPr>
            </w:pPr>
            <w:r w:rsidRPr="00A773A0">
              <w:rPr>
                <w:rFonts w:cs="Times New Roman"/>
                <w:color w:val="000000" w:themeColor="text1"/>
                <w:sz w:val="24"/>
                <w:szCs w:val="24"/>
              </w:rPr>
              <w:t>Email: dana.leidel@smail.th-koeln.de</w:t>
            </w:r>
          </w:p>
        </w:tc>
        <w:tc>
          <w:tcPr>
            <w:tcW w:w="4531" w:type="dxa"/>
          </w:tcPr>
          <w:p w14:paraId="77565B29" w14:textId="60974575" w:rsidR="004F0E2C" w:rsidRDefault="004F0E2C" w:rsidP="004F0E2C">
            <w:pPr>
              <w:spacing w:line="360" w:lineRule="auto"/>
              <w:jc w:val="center"/>
              <w:rPr>
                <w:rFonts w:cs="Times New Roman"/>
                <w:color w:val="000000" w:themeColor="text1"/>
                <w:sz w:val="24"/>
                <w:szCs w:val="24"/>
              </w:rPr>
            </w:pPr>
            <w:r w:rsidRPr="00012B5A">
              <w:rPr>
                <w:rFonts w:cs="Times New Roman"/>
                <w:color w:val="000000" w:themeColor="text1"/>
                <w:sz w:val="24"/>
                <w:szCs w:val="24"/>
              </w:rPr>
              <w:t xml:space="preserve">Erstprüfer: Prof. Dr. </w:t>
            </w:r>
            <w:r>
              <w:rPr>
                <w:rFonts w:cs="Times New Roman"/>
                <w:color w:val="000000" w:themeColor="text1"/>
                <w:sz w:val="24"/>
                <w:szCs w:val="24"/>
              </w:rPr>
              <w:t>Frank Gogoll</w:t>
            </w:r>
          </w:p>
          <w:p w14:paraId="7B709A14" w14:textId="2D5F97FE" w:rsidR="004F0E2C" w:rsidRPr="00012B5A" w:rsidRDefault="004F0E2C" w:rsidP="004F0E2C">
            <w:pPr>
              <w:spacing w:line="360" w:lineRule="auto"/>
              <w:jc w:val="center"/>
              <w:rPr>
                <w:rFonts w:cs="Times New Roman"/>
                <w:color w:val="000000" w:themeColor="text1"/>
                <w:sz w:val="24"/>
                <w:szCs w:val="24"/>
              </w:rPr>
            </w:pPr>
            <w:r>
              <w:rPr>
                <w:rFonts w:cs="Times New Roman"/>
                <w:color w:val="000000" w:themeColor="text1"/>
                <w:sz w:val="24"/>
                <w:szCs w:val="24"/>
              </w:rPr>
              <w:t>Zweitprüfer: Prof. Dr. Dominik Enste</w:t>
            </w:r>
          </w:p>
          <w:p w14:paraId="46F41E38" w14:textId="6209526D" w:rsidR="004F0E2C" w:rsidRPr="00012B5A" w:rsidRDefault="004F0E2C" w:rsidP="004F0E2C">
            <w:pPr>
              <w:spacing w:line="360" w:lineRule="auto"/>
              <w:jc w:val="center"/>
              <w:rPr>
                <w:rFonts w:cs="Times New Roman"/>
                <w:color w:val="000000" w:themeColor="text1"/>
                <w:sz w:val="24"/>
                <w:szCs w:val="24"/>
              </w:rPr>
            </w:pPr>
            <w:r>
              <w:rPr>
                <w:rFonts w:cs="Times New Roman"/>
                <w:color w:val="000000" w:themeColor="text1"/>
                <w:sz w:val="24"/>
                <w:szCs w:val="24"/>
              </w:rPr>
              <w:t>4</w:t>
            </w:r>
            <w:r w:rsidRPr="00012B5A">
              <w:rPr>
                <w:rFonts w:cs="Times New Roman"/>
                <w:color w:val="000000" w:themeColor="text1"/>
                <w:sz w:val="24"/>
                <w:szCs w:val="24"/>
              </w:rPr>
              <w:t>. Fachsemester</w:t>
            </w:r>
          </w:p>
          <w:p w14:paraId="1E381A98" w14:textId="77777777" w:rsidR="004F0E2C" w:rsidRPr="00012B5A" w:rsidRDefault="004F0E2C" w:rsidP="004F0E2C">
            <w:pPr>
              <w:spacing w:line="360" w:lineRule="auto"/>
              <w:jc w:val="center"/>
              <w:rPr>
                <w:rFonts w:cs="Times New Roman"/>
                <w:color w:val="000000" w:themeColor="text1"/>
                <w:sz w:val="24"/>
                <w:szCs w:val="24"/>
              </w:rPr>
            </w:pPr>
            <w:r w:rsidRPr="00012B5A">
              <w:rPr>
                <w:rFonts w:cs="Times New Roman"/>
                <w:color w:val="000000" w:themeColor="text1"/>
                <w:sz w:val="24"/>
                <w:szCs w:val="24"/>
              </w:rPr>
              <w:t>Matrikel-Nummer: 11153157</w:t>
            </w:r>
          </w:p>
          <w:p w14:paraId="6961014C" w14:textId="09ED4539" w:rsidR="004F0E2C" w:rsidRPr="00012B5A" w:rsidRDefault="004F0E2C" w:rsidP="004F0E2C">
            <w:pPr>
              <w:spacing w:line="360" w:lineRule="auto"/>
              <w:jc w:val="center"/>
              <w:rPr>
                <w:rFonts w:cs="Times New Roman"/>
                <w:color w:val="000000" w:themeColor="text1"/>
                <w:sz w:val="24"/>
                <w:szCs w:val="24"/>
              </w:rPr>
            </w:pPr>
            <w:r w:rsidRPr="00012B5A">
              <w:rPr>
                <w:rFonts w:cs="Times New Roman"/>
                <w:color w:val="000000" w:themeColor="text1"/>
                <w:sz w:val="24"/>
                <w:szCs w:val="24"/>
              </w:rPr>
              <w:t xml:space="preserve">Abgabetermin: </w:t>
            </w:r>
            <w:r>
              <w:rPr>
                <w:rFonts w:cs="Times New Roman"/>
                <w:color w:val="000000" w:themeColor="text1"/>
                <w:sz w:val="24"/>
                <w:szCs w:val="24"/>
              </w:rPr>
              <w:t>15</w:t>
            </w:r>
            <w:r w:rsidRPr="00012B5A">
              <w:rPr>
                <w:rFonts w:cs="Times New Roman"/>
                <w:color w:val="000000" w:themeColor="text1"/>
                <w:sz w:val="24"/>
                <w:szCs w:val="24"/>
              </w:rPr>
              <w:t>.</w:t>
            </w:r>
            <w:r>
              <w:rPr>
                <w:rFonts w:cs="Times New Roman"/>
                <w:color w:val="000000" w:themeColor="text1"/>
                <w:sz w:val="24"/>
                <w:szCs w:val="24"/>
              </w:rPr>
              <w:t>09</w:t>
            </w:r>
            <w:r w:rsidRPr="00012B5A">
              <w:rPr>
                <w:rFonts w:cs="Times New Roman"/>
                <w:color w:val="000000" w:themeColor="text1"/>
                <w:sz w:val="24"/>
                <w:szCs w:val="24"/>
              </w:rPr>
              <w:t>.202</w:t>
            </w:r>
            <w:r>
              <w:rPr>
                <w:rFonts w:cs="Times New Roman"/>
                <w:color w:val="000000" w:themeColor="text1"/>
                <w:sz w:val="24"/>
                <w:szCs w:val="24"/>
              </w:rPr>
              <w:t>3</w:t>
            </w:r>
          </w:p>
        </w:tc>
      </w:tr>
    </w:tbl>
    <w:p w14:paraId="7D4F4D18" w14:textId="77777777" w:rsidR="004F0E2C" w:rsidRDefault="004F0E2C" w:rsidP="004F0E2C">
      <w:pPr>
        <w:jc w:val="center"/>
        <w:rPr>
          <w:rFonts w:cs="Times New Roman"/>
          <w:color w:val="000000" w:themeColor="text1"/>
          <w:szCs w:val="24"/>
        </w:rPr>
      </w:pPr>
    </w:p>
    <w:p w14:paraId="22B83ADF" w14:textId="77777777" w:rsidR="004F0E2C" w:rsidRPr="006E2D17" w:rsidRDefault="004F0E2C" w:rsidP="004F0E2C">
      <w:pPr>
        <w:jc w:val="center"/>
        <w:rPr>
          <w:rFonts w:cs="Times New Roman"/>
          <w:color w:val="000000" w:themeColor="text1"/>
          <w:szCs w:val="24"/>
        </w:rPr>
        <w:sectPr w:rsidR="004F0E2C" w:rsidRPr="006E2D17" w:rsidSect="004F0E2C">
          <w:footerReference w:type="default" r:id="rId8"/>
          <w:footerReference w:type="first" r:id="rId9"/>
          <w:pgSz w:w="11906" w:h="16838"/>
          <w:pgMar w:top="1417" w:right="1417" w:bottom="1134" w:left="1417" w:header="708" w:footer="708" w:gutter="0"/>
          <w:cols w:space="708"/>
          <w:titlePg/>
          <w:docGrid w:linePitch="360"/>
        </w:sectPr>
      </w:pPr>
    </w:p>
    <w:p w14:paraId="4646B43C" w14:textId="77777777" w:rsidR="004F0E2C" w:rsidRDefault="0029000D" w:rsidP="0029000D">
      <w:pPr>
        <w:pStyle w:val="Inhaltsverzeichnisberschrift"/>
        <w:spacing w:before="0" w:after="120" w:line="360" w:lineRule="auto"/>
        <w:rPr>
          <w:noProof/>
        </w:rPr>
      </w:pPr>
      <w:bookmarkStart w:id="0" w:name="_Toc143361639"/>
      <w:r w:rsidRPr="0029000D">
        <w:rPr>
          <w:rStyle w:val="berschrift1Zchn"/>
          <w:color w:val="auto"/>
        </w:rPr>
        <w:lastRenderedPageBreak/>
        <w:t>Table of Contents</w:t>
      </w:r>
      <w:bookmarkEnd w:id="0"/>
      <w:r w:rsidRPr="0029000D">
        <w:rPr>
          <w:rStyle w:val="berschrift1Zchn"/>
        </w:rPr>
        <w:t xml:space="preserve"> </w:t>
      </w:r>
      <w:r w:rsidR="00AE26EB" w:rsidRPr="00EC5135">
        <w:rPr>
          <w:rFonts w:ascii="Times New Roman" w:hAnsi="Times New Roman" w:cs="Times New Roman"/>
          <w:bCs/>
          <w:caps/>
          <w:sz w:val="24"/>
          <w:szCs w:val="24"/>
        </w:rPr>
        <w:fldChar w:fldCharType="begin"/>
      </w:r>
      <w:r w:rsidR="00AE26EB" w:rsidRPr="00EC5135">
        <w:rPr>
          <w:rFonts w:ascii="Times New Roman" w:hAnsi="Times New Roman" w:cs="Times New Roman"/>
          <w:sz w:val="24"/>
          <w:szCs w:val="24"/>
          <w:lang w:val="en-GB"/>
        </w:rPr>
        <w:instrText xml:space="preserve"> TOC \o "1-3" \u </w:instrText>
      </w:r>
      <w:r w:rsidR="00AE26EB" w:rsidRPr="00EC5135">
        <w:rPr>
          <w:rFonts w:ascii="Times New Roman" w:hAnsi="Times New Roman" w:cs="Times New Roman"/>
          <w:bCs/>
          <w:caps/>
          <w:sz w:val="24"/>
          <w:szCs w:val="24"/>
        </w:rPr>
        <w:fldChar w:fldCharType="separate"/>
      </w:r>
    </w:p>
    <w:p w14:paraId="217D3678" w14:textId="281251DE" w:rsidR="004F0E2C" w:rsidRPr="004F0E2C" w:rsidRDefault="004F0E2C">
      <w:pPr>
        <w:pStyle w:val="Verzeichnis1"/>
        <w:rPr>
          <w:rFonts w:eastAsiaTheme="minorEastAsia" w:cstheme="minorBidi"/>
          <w:b w:val="0"/>
          <w:bCs w:val="0"/>
          <w:caps w:val="0"/>
          <w:noProof/>
          <w:sz w:val="22"/>
          <w:szCs w:val="22"/>
          <w:lang w:val="en-GB" w:eastAsia="de-DE"/>
        </w:rPr>
      </w:pPr>
      <w:r w:rsidRPr="004F0E2C">
        <w:rPr>
          <w:rFonts w:eastAsiaTheme="majorEastAsia" w:cstheme="majorBidi"/>
          <w:noProof/>
          <w:kern w:val="0"/>
          <w:lang w:val="en-GB" w:eastAsia="de-DE"/>
        </w:rPr>
        <w:t>Table of Contents</w:t>
      </w:r>
      <w:r w:rsidRPr="004F0E2C">
        <w:rPr>
          <w:noProof/>
          <w:lang w:val="en-GB"/>
        </w:rPr>
        <w:tab/>
      </w:r>
      <w:r>
        <w:rPr>
          <w:noProof/>
        </w:rPr>
        <w:fldChar w:fldCharType="begin"/>
      </w:r>
      <w:r w:rsidRPr="004F0E2C">
        <w:rPr>
          <w:noProof/>
          <w:lang w:val="en-GB"/>
        </w:rPr>
        <w:instrText xml:space="preserve"> PAGEREF _Toc143361639 \h </w:instrText>
      </w:r>
      <w:r>
        <w:rPr>
          <w:noProof/>
        </w:rPr>
      </w:r>
      <w:r>
        <w:rPr>
          <w:noProof/>
        </w:rPr>
        <w:fldChar w:fldCharType="separate"/>
      </w:r>
      <w:r w:rsidRPr="004F0E2C">
        <w:rPr>
          <w:noProof/>
          <w:lang w:val="en-GB"/>
        </w:rPr>
        <w:t>2</w:t>
      </w:r>
      <w:r>
        <w:rPr>
          <w:noProof/>
        </w:rPr>
        <w:fldChar w:fldCharType="end"/>
      </w:r>
    </w:p>
    <w:p w14:paraId="5B9F6532" w14:textId="17BBF4B2" w:rsidR="004F0E2C" w:rsidRPr="004F0E2C" w:rsidRDefault="004F0E2C">
      <w:pPr>
        <w:pStyle w:val="Verzeichnis1"/>
        <w:rPr>
          <w:rFonts w:eastAsiaTheme="minorEastAsia" w:cstheme="minorBidi"/>
          <w:b w:val="0"/>
          <w:bCs w:val="0"/>
          <w:caps w:val="0"/>
          <w:noProof/>
          <w:sz w:val="22"/>
          <w:szCs w:val="22"/>
          <w:lang w:val="en-GB" w:eastAsia="de-DE"/>
        </w:rPr>
      </w:pPr>
      <w:r w:rsidRPr="004F0E2C">
        <w:rPr>
          <w:noProof/>
          <w:lang w:val="en-GB"/>
        </w:rPr>
        <w:t>List of Tables</w:t>
      </w:r>
      <w:r w:rsidRPr="004F0E2C">
        <w:rPr>
          <w:noProof/>
          <w:lang w:val="en-GB"/>
        </w:rPr>
        <w:tab/>
      </w:r>
      <w:r>
        <w:rPr>
          <w:noProof/>
        </w:rPr>
        <w:fldChar w:fldCharType="begin"/>
      </w:r>
      <w:r w:rsidRPr="004F0E2C">
        <w:rPr>
          <w:noProof/>
          <w:lang w:val="en-GB"/>
        </w:rPr>
        <w:instrText xml:space="preserve"> PAGEREF _Toc143361640 \h </w:instrText>
      </w:r>
      <w:r>
        <w:rPr>
          <w:noProof/>
        </w:rPr>
      </w:r>
      <w:r>
        <w:rPr>
          <w:noProof/>
        </w:rPr>
        <w:fldChar w:fldCharType="separate"/>
      </w:r>
      <w:r w:rsidRPr="004F0E2C">
        <w:rPr>
          <w:noProof/>
          <w:lang w:val="en-GB"/>
        </w:rPr>
        <w:t>3</w:t>
      </w:r>
      <w:r>
        <w:rPr>
          <w:noProof/>
        </w:rPr>
        <w:fldChar w:fldCharType="end"/>
      </w:r>
    </w:p>
    <w:p w14:paraId="0CFA1392" w14:textId="20F9648C" w:rsidR="004F0E2C" w:rsidRPr="004F0E2C" w:rsidRDefault="004F0E2C">
      <w:pPr>
        <w:pStyle w:val="Verzeichnis1"/>
        <w:rPr>
          <w:rFonts w:eastAsiaTheme="minorEastAsia" w:cstheme="minorBidi"/>
          <w:b w:val="0"/>
          <w:bCs w:val="0"/>
          <w:caps w:val="0"/>
          <w:noProof/>
          <w:sz w:val="22"/>
          <w:szCs w:val="22"/>
          <w:lang w:val="en-GB" w:eastAsia="de-DE"/>
        </w:rPr>
      </w:pPr>
      <w:r w:rsidRPr="00131C55">
        <w:rPr>
          <w:noProof/>
          <w:lang w:val="en-GB"/>
        </w:rPr>
        <w:t>List of Figures</w:t>
      </w:r>
      <w:r w:rsidRPr="004F0E2C">
        <w:rPr>
          <w:noProof/>
          <w:lang w:val="en-GB"/>
        </w:rPr>
        <w:tab/>
      </w:r>
      <w:r>
        <w:rPr>
          <w:noProof/>
        </w:rPr>
        <w:fldChar w:fldCharType="begin"/>
      </w:r>
      <w:r w:rsidRPr="004F0E2C">
        <w:rPr>
          <w:noProof/>
          <w:lang w:val="en-GB"/>
        </w:rPr>
        <w:instrText xml:space="preserve"> PAGEREF _Toc143361641 \h </w:instrText>
      </w:r>
      <w:r>
        <w:rPr>
          <w:noProof/>
        </w:rPr>
      </w:r>
      <w:r>
        <w:rPr>
          <w:noProof/>
        </w:rPr>
        <w:fldChar w:fldCharType="separate"/>
      </w:r>
      <w:r w:rsidRPr="004F0E2C">
        <w:rPr>
          <w:noProof/>
          <w:lang w:val="en-GB"/>
        </w:rPr>
        <w:t>3</w:t>
      </w:r>
      <w:r>
        <w:rPr>
          <w:noProof/>
        </w:rPr>
        <w:fldChar w:fldCharType="end"/>
      </w:r>
    </w:p>
    <w:p w14:paraId="70CD8ACC" w14:textId="087F7C4F" w:rsidR="004F0E2C" w:rsidRPr="004F0E2C" w:rsidRDefault="004F0E2C">
      <w:pPr>
        <w:pStyle w:val="Verzeichnis1"/>
        <w:rPr>
          <w:rFonts w:eastAsiaTheme="minorEastAsia" w:cstheme="minorBidi"/>
          <w:b w:val="0"/>
          <w:bCs w:val="0"/>
          <w:caps w:val="0"/>
          <w:noProof/>
          <w:sz w:val="22"/>
          <w:szCs w:val="22"/>
          <w:lang w:val="en-GB" w:eastAsia="de-DE"/>
        </w:rPr>
      </w:pPr>
      <w:r w:rsidRPr="00131C55">
        <w:rPr>
          <w:noProof/>
          <w:lang w:val="en-GB"/>
        </w:rPr>
        <w:t>1. Introduction</w:t>
      </w:r>
      <w:r w:rsidRPr="004F0E2C">
        <w:rPr>
          <w:noProof/>
          <w:lang w:val="en-GB"/>
        </w:rPr>
        <w:tab/>
      </w:r>
      <w:r>
        <w:rPr>
          <w:noProof/>
        </w:rPr>
        <w:fldChar w:fldCharType="begin"/>
      </w:r>
      <w:r w:rsidRPr="004F0E2C">
        <w:rPr>
          <w:noProof/>
          <w:lang w:val="en-GB"/>
        </w:rPr>
        <w:instrText xml:space="preserve"> PAGEREF _Toc143361642 \h </w:instrText>
      </w:r>
      <w:r>
        <w:rPr>
          <w:noProof/>
        </w:rPr>
      </w:r>
      <w:r>
        <w:rPr>
          <w:noProof/>
        </w:rPr>
        <w:fldChar w:fldCharType="separate"/>
      </w:r>
      <w:r w:rsidRPr="004F0E2C">
        <w:rPr>
          <w:noProof/>
          <w:lang w:val="en-GB"/>
        </w:rPr>
        <w:t>4</w:t>
      </w:r>
      <w:r>
        <w:rPr>
          <w:noProof/>
        </w:rPr>
        <w:fldChar w:fldCharType="end"/>
      </w:r>
    </w:p>
    <w:p w14:paraId="1852AE3F" w14:textId="472F9DB3" w:rsidR="004F0E2C" w:rsidRPr="004F0E2C" w:rsidRDefault="004F0E2C">
      <w:pPr>
        <w:pStyle w:val="Verzeichnis1"/>
        <w:rPr>
          <w:rFonts w:eastAsiaTheme="minorEastAsia" w:cstheme="minorBidi"/>
          <w:b w:val="0"/>
          <w:bCs w:val="0"/>
          <w:caps w:val="0"/>
          <w:noProof/>
          <w:sz w:val="22"/>
          <w:szCs w:val="22"/>
          <w:lang w:val="en-GB" w:eastAsia="de-DE"/>
        </w:rPr>
      </w:pPr>
      <w:r w:rsidRPr="00131C55">
        <w:rPr>
          <w:noProof/>
          <w:lang w:val="en-GB"/>
        </w:rPr>
        <w:t>2. The Tourism System – a general overview</w:t>
      </w:r>
      <w:r w:rsidRPr="004F0E2C">
        <w:rPr>
          <w:noProof/>
          <w:lang w:val="en-GB"/>
        </w:rPr>
        <w:tab/>
      </w:r>
      <w:r>
        <w:rPr>
          <w:noProof/>
        </w:rPr>
        <w:fldChar w:fldCharType="begin"/>
      </w:r>
      <w:r w:rsidRPr="004F0E2C">
        <w:rPr>
          <w:noProof/>
          <w:lang w:val="en-GB"/>
        </w:rPr>
        <w:instrText xml:space="preserve"> PAGEREF _Toc143361643 \h </w:instrText>
      </w:r>
      <w:r>
        <w:rPr>
          <w:noProof/>
        </w:rPr>
      </w:r>
      <w:r>
        <w:rPr>
          <w:noProof/>
        </w:rPr>
        <w:fldChar w:fldCharType="separate"/>
      </w:r>
      <w:r w:rsidRPr="004F0E2C">
        <w:rPr>
          <w:noProof/>
          <w:lang w:val="en-GB"/>
        </w:rPr>
        <w:t>6</w:t>
      </w:r>
      <w:r>
        <w:rPr>
          <w:noProof/>
        </w:rPr>
        <w:fldChar w:fldCharType="end"/>
      </w:r>
    </w:p>
    <w:p w14:paraId="36F35D5C" w14:textId="7338398C"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2.1. The Tourism Industry – overview of a global economy and COVID-19 effects</w:t>
      </w:r>
      <w:r w:rsidRPr="004F0E2C">
        <w:rPr>
          <w:noProof/>
          <w:lang w:val="en-GB"/>
        </w:rPr>
        <w:tab/>
      </w:r>
      <w:r>
        <w:rPr>
          <w:noProof/>
        </w:rPr>
        <w:fldChar w:fldCharType="begin"/>
      </w:r>
      <w:r w:rsidRPr="004F0E2C">
        <w:rPr>
          <w:noProof/>
          <w:lang w:val="en-GB"/>
        </w:rPr>
        <w:instrText xml:space="preserve"> PAGEREF _Toc143361644 \h </w:instrText>
      </w:r>
      <w:r>
        <w:rPr>
          <w:noProof/>
        </w:rPr>
      </w:r>
      <w:r>
        <w:rPr>
          <w:noProof/>
        </w:rPr>
        <w:fldChar w:fldCharType="separate"/>
      </w:r>
      <w:r w:rsidRPr="004F0E2C">
        <w:rPr>
          <w:noProof/>
          <w:lang w:val="en-GB"/>
        </w:rPr>
        <w:t>6</w:t>
      </w:r>
      <w:r>
        <w:rPr>
          <w:noProof/>
        </w:rPr>
        <w:fldChar w:fldCharType="end"/>
      </w:r>
    </w:p>
    <w:p w14:paraId="31516E49" w14:textId="4B992D42"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2.2. The Tourism System and - Product</w:t>
      </w:r>
      <w:r w:rsidRPr="004F0E2C">
        <w:rPr>
          <w:noProof/>
          <w:lang w:val="en-GB"/>
        </w:rPr>
        <w:tab/>
      </w:r>
      <w:r>
        <w:rPr>
          <w:noProof/>
        </w:rPr>
        <w:fldChar w:fldCharType="begin"/>
      </w:r>
      <w:r w:rsidRPr="004F0E2C">
        <w:rPr>
          <w:noProof/>
          <w:lang w:val="en-GB"/>
        </w:rPr>
        <w:instrText xml:space="preserve"> PAGEREF _Toc143361645 \h </w:instrText>
      </w:r>
      <w:r>
        <w:rPr>
          <w:noProof/>
        </w:rPr>
      </w:r>
      <w:r>
        <w:rPr>
          <w:noProof/>
        </w:rPr>
        <w:fldChar w:fldCharType="separate"/>
      </w:r>
      <w:r w:rsidRPr="004F0E2C">
        <w:rPr>
          <w:noProof/>
          <w:lang w:val="en-GB"/>
        </w:rPr>
        <w:t>9</w:t>
      </w:r>
      <w:r>
        <w:rPr>
          <w:noProof/>
        </w:rPr>
        <w:fldChar w:fldCharType="end"/>
      </w:r>
    </w:p>
    <w:p w14:paraId="1C00B486" w14:textId="19CD4288"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2.2.1. Core System: Tour Operators, Travel Agencies and Travellers</w:t>
      </w:r>
      <w:r w:rsidRPr="004F0E2C">
        <w:rPr>
          <w:noProof/>
          <w:lang w:val="en-GB"/>
        </w:rPr>
        <w:tab/>
      </w:r>
      <w:r>
        <w:rPr>
          <w:noProof/>
        </w:rPr>
        <w:fldChar w:fldCharType="begin"/>
      </w:r>
      <w:r w:rsidRPr="004F0E2C">
        <w:rPr>
          <w:noProof/>
          <w:lang w:val="en-GB"/>
        </w:rPr>
        <w:instrText xml:space="preserve"> PAGEREF _Toc143361646 \h </w:instrText>
      </w:r>
      <w:r>
        <w:rPr>
          <w:noProof/>
        </w:rPr>
      </w:r>
      <w:r>
        <w:rPr>
          <w:noProof/>
        </w:rPr>
        <w:fldChar w:fldCharType="separate"/>
      </w:r>
      <w:r w:rsidRPr="004F0E2C">
        <w:rPr>
          <w:noProof/>
          <w:lang w:val="en-GB"/>
        </w:rPr>
        <w:t>11</w:t>
      </w:r>
      <w:r>
        <w:rPr>
          <w:noProof/>
        </w:rPr>
        <w:fldChar w:fldCharType="end"/>
      </w:r>
    </w:p>
    <w:p w14:paraId="621A2F87" w14:textId="6D4DCAAC"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2.2.2. Service Providers</w:t>
      </w:r>
      <w:r w:rsidRPr="004F0E2C">
        <w:rPr>
          <w:noProof/>
          <w:lang w:val="en-GB"/>
        </w:rPr>
        <w:tab/>
      </w:r>
      <w:r>
        <w:rPr>
          <w:noProof/>
        </w:rPr>
        <w:fldChar w:fldCharType="begin"/>
      </w:r>
      <w:r w:rsidRPr="004F0E2C">
        <w:rPr>
          <w:noProof/>
          <w:lang w:val="en-GB"/>
        </w:rPr>
        <w:instrText xml:space="preserve"> PAGEREF _Toc143361647 \h </w:instrText>
      </w:r>
      <w:r>
        <w:rPr>
          <w:noProof/>
        </w:rPr>
      </w:r>
      <w:r>
        <w:rPr>
          <w:noProof/>
        </w:rPr>
        <w:fldChar w:fldCharType="separate"/>
      </w:r>
      <w:r w:rsidRPr="004F0E2C">
        <w:rPr>
          <w:noProof/>
          <w:lang w:val="en-GB"/>
        </w:rPr>
        <w:t>12</w:t>
      </w:r>
      <w:r>
        <w:rPr>
          <w:noProof/>
        </w:rPr>
        <w:fldChar w:fldCharType="end"/>
      </w:r>
    </w:p>
    <w:p w14:paraId="219E2663" w14:textId="71FF78EA"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2.2.3. Institutions &amp; other service providers</w:t>
      </w:r>
      <w:r w:rsidRPr="004F0E2C">
        <w:rPr>
          <w:noProof/>
          <w:lang w:val="en-GB"/>
        </w:rPr>
        <w:tab/>
      </w:r>
      <w:r>
        <w:rPr>
          <w:noProof/>
        </w:rPr>
        <w:fldChar w:fldCharType="begin"/>
      </w:r>
      <w:r w:rsidRPr="004F0E2C">
        <w:rPr>
          <w:noProof/>
          <w:lang w:val="en-GB"/>
        </w:rPr>
        <w:instrText xml:space="preserve"> PAGEREF _Toc143361648 \h </w:instrText>
      </w:r>
      <w:r>
        <w:rPr>
          <w:noProof/>
        </w:rPr>
      </w:r>
      <w:r>
        <w:rPr>
          <w:noProof/>
        </w:rPr>
        <w:fldChar w:fldCharType="separate"/>
      </w:r>
      <w:r w:rsidRPr="004F0E2C">
        <w:rPr>
          <w:noProof/>
          <w:lang w:val="en-GB"/>
        </w:rPr>
        <w:t>14</w:t>
      </w:r>
      <w:r>
        <w:rPr>
          <w:noProof/>
        </w:rPr>
        <w:fldChar w:fldCharType="end"/>
      </w:r>
    </w:p>
    <w:p w14:paraId="4B335D5C" w14:textId="75C33B2E"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2.2.4. Attractions &amp; the Systems Environment</w:t>
      </w:r>
      <w:r w:rsidRPr="004F0E2C">
        <w:rPr>
          <w:noProof/>
          <w:lang w:val="en-GB"/>
        </w:rPr>
        <w:tab/>
      </w:r>
      <w:r>
        <w:rPr>
          <w:noProof/>
        </w:rPr>
        <w:fldChar w:fldCharType="begin"/>
      </w:r>
      <w:r w:rsidRPr="004F0E2C">
        <w:rPr>
          <w:noProof/>
          <w:lang w:val="en-GB"/>
        </w:rPr>
        <w:instrText xml:space="preserve"> PAGEREF _Toc143361649 \h </w:instrText>
      </w:r>
      <w:r>
        <w:rPr>
          <w:noProof/>
        </w:rPr>
      </w:r>
      <w:r>
        <w:rPr>
          <w:noProof/>
        </w:rPr>
        <w:fldChar w:fldCharType="separate"/>
      </w:r>
      <w:r w:rsidRPr="004F0E2C">
        <w:rPr>
          <w:noProof/>
          <w:lang w:val="en-GB"/>
        </w:rPr>
        <w:t>14</w:t>
      </w:r>
      <w:r>
        <w:rPr>
          <w:noProof/>
        </w:rPr>
        <w:fldChar w:fldCharType="end"/>
      </w:r>
    </w:p>
    <w:p w14:paraId="0C917182" w14:textId="22D1FD3E"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2.3. Luxury Tourism and its characteristics</w:t>
      </w:r>
      <w:r w:rsidRPr="004F0E2C">
        <w:rPr>
          <w:noProof/>
          <w:lang w:val="en-GB"/>
        </w:rPr>
        <w:tab/>
      </w:r>
      <w:r>
        <w:rPr>
          <w:noProof/>
        </w:rPr>
        <w:fldChar w:fldCharType="begin"/>
      </w:r>
      <w:r w:rsidRPr="004F0E2C">
        <w:rPr>
          <w:noProof/>
          <w:lang w:val="en-GB"/>
        </w:rPr>
        <w:instrText xml:space="preserve"> PAGEREF _Toc143361650 \h </w:instrText>
      </w:r>
      <w:r>
        <w:rPr>
          <w:noProof/>
        </w:rPr>
      </w:r>
      <w:r>
        <w:rPr>
          <w:noProof/>
        </w:rPr>
        <w:fldChar w:fldCharType="separate"/>
      </w:r>
      <w:r w:rsidRPr="004F0E2C">
        <w:rPr>
          <w:noProof/>
          <w:lang w:val="en-GB"/>
        </w:rPr>
        <w:t>15</w:t>
      </w:r>
      <w:r>
        <w:rPr>
          <w:noProof/>
        </w:rPr>
        <w:fldChar w:fldCharType="end"/>
      </w:r>
    </w:p>
    <w:p w14:paraId="42BC4EF6" w14:textId="1864096A"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2.4. Tourism Development after COVID– time for a new trajectory?</w:t>
      </w:r>
      <w:r w:rsidRPr="004F0E2C">
        <w:rPr>
          <w:noProof/>
          <w:lang w:val="en-GB"/>
        </w:rPr>
        <w:tab/>
      </w:r>
      <w:r>
        <w:rPr>
          <w:noProof/>
        </w:rPr>
        <w:fldChar w:fldCharType="begin"/>
      </w:r>
      <w:r w:rsidRPr="004F0E2C">
        <w:rPr>
          <w:noProof/>
          <w:lang w:val="en-GB"/>
        </w:rPr>
        <w:instrText xml:space="preserve"> PAGEREF _Toc143361651 \h </w:instrText>
      </w:r>
      <w:r>
        <w:rPr>
          <w:noProof/>
        </w:rPr>
      </w:r>
      <w:r>
        <w:rPr>
          <w:noProof/>
        </w:rPr>
        <w:fldChar w:fldCharType="separate"/>
      </w:r>
      <w:r w:rsidRPr="004F0E2C">
        <w:rPr>
          <w:noProof/>
          <w:lang w:val="en-GB"/>
        </w:rPr>
        <w:t>19</w:t>
      </w:r>
      <w:r>
        <w:rPr>
          <w:noProof/>
        </w:rPr>
        <w:fldChar w:fldCharType="end"/>
      </w:r>
    </w:p>
    <w:p w14:paraId="4D2DF8D3" w14:textId="67261A1A" w:rsidR="004F0E2C" w:rsidRPr="004F0E2C" w:rsidRDefault="004F0E2C">
      <w:pPr>
        <w:pStyle w:val="Verzeichnis1"/>
        <w:rPr>
          <w:rFonts w:eastAsiaTheme="minorEastAsia" w:cstheme="minorBidi"/>
          <w:b w:val="0"/>
          <w:bCs w:val="0"/>
          <w:caps w:val="0"/>
          <w:noProof/>
          <w:sz w:val="22"/>
          <w:szCs w:val="22"/>
          <w:lang w:val="en-GB" w:eastAsia="de-DE"/>
        </w:rPr>
      </w:pPr>
      <w:r w:rsidRPr="00131C55">
        <w:rPr>
          <w:noProof/>
          <w:lang w:val="en-GB"/>
        </w:rPr>
        <w:t>3. Corporate Social Responsibility</w:t>
      </w:r>
      <w:r w:rsidRPr="004F0E2C">
        <w:rPr>
          <w:noProof/>
          <w:lang w:val="en-GB"/>
        </w:rPr>
        <w:tab/>
      </w:r>
      <w:r>
        <w:rPr>
          <w:noProof/>
        </w:rPr>
        <w:fldChar w:fldCharType="begin"/>
      </w:r>
      <w:r w:rsidRPr="004F0E2C">
        <w:rPr>
          <w:noProof/>
          <w:lang w:val="en-GB"/>
        </w:rPr>
        <w:instrText xml:space="preserve"> PAGEREF _Toc143361652 \h </w:instrText>
      </w:r>
      <w:r>
        <w:rPr>
          <w:noProof/>
        </w:rPr>
      </w:r>
      <w:r>
        <w:rPr>
          <w:noProof/>
        </w:rPr>
        <w:fldChar w:fldCharType="separate"/>
      </w:r>
      <w:r w:rsidRPr="004F0E2C">
        <w:rPr>
          <w:noProof/>
          <w:lang w:val="en-GB"/>
        </w:rPr>
        <w:t>22</w:t>
      </w:r>
      <w:r>
        <w:rPr>
          <w:noProof/>
        </w:rPr>
        <w:fldChar w:fldCharType="end"/>
      </w:r>
    </w:p>
    <w:p w14:paraId="77AF9F19" w14:textId="76264DF5"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3.1. Corporate Social Responsibility – a definition</w:t>
      </w:r>
      <w:r w:rsidRPr="004F0E2C">
        <w:rPr>
          <w:noProof/>
          <w:lang w:val="en-GB"/>
        </w:rPr>
        <w:tab/>
      </w:r>
      <w:r>
        <w:rPr>
          <w:noProof/>
        </w:rPr>
        <w:fldChar w:fldCharType="begin"/>
      </w:r>
      <w:r w:rsidRPr="004F0E2C">
        <w:rPr>
          <w:noProof/>
          <w:lang w:val="en-GB"/>
        </w:rPr>
        <w:instrText xml:space="preserve"> PAGEREF _Toc143361653 \h </w:instrText>
      </w:r>
      <w:r>
        <w:rPr>
          <w:noProof/>
        </w:rPr>
      </w:r>
      <w:r>
        <w:rPr>
          <w:noProof/>
        </w:rPr>
        <w:fldChar w:fldCharType="separate"/>
      </w:r>
      <w:r w:rsidRPr="004F0E2C">
        <w:rPr>
          <w:noProof/>
          <w:lang w:val="en-GB"/>
        </w:rPr>
        <w:t>23</w:t>
      </w:r>
      <w:r>
        <w:rPr>
          <w:noProof/>
        </w:rPr>
        <w:fldChar w:fldCharType="end"/>
      </w:r>
    </w:p>
    <w:p w14:paraId="27778A3B" w14:textId="03381CF2"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3.2. CSR in Tourism and boundaries of terminology</w:t>
      </w:r>
      <w:r w:rsidRPr="004F0E2C">
        <w:rPr>
          <w:noProof/>
          <w:lang w:val="en-GB"/>
        </w:rPr>
        <w:tab/>
      </w:r>
      <w:r>
        <w:rPr>
          <w:noProof/>
        </w:rPr>
        <w:fldChar w:fldCharType="begin"/>
      </w:r>
      <w:r w:rsidRPr="004F0E2C">
        <w:rPr>
          <w:noProof/>
          <w:lang w:val="en-GB"/>
        </w:rPr>
        <w:instrText xml:space="preserve"> PAGEREF _Toc143361654 \h </w:instrText>
      </w:r>
      <w:r>
        <w:rPr>
          <w:noProof/>
        </w:rPr>
      </w:r>
      <w:r>
        <w:rPr>
          <w:noProof/>
        </w:rPr>
        <w:fldChar w:fldCharType="separate"/>
      </w:r>
      <w:r w:rsidRPr="004F0E2C">
        <w:rPr>
          <w:noProof/>
          <w:lang w:val="en-GB"/>
        </w:rPr>
        <w:t>28</w:t>
      </w:r>
      <w:r>
        <w:rPr>
          <w:noProof/>
        </w:rPr>
        <w:fldChar w:fldCharType="end"/>
      </w:r>
    </w:p>
    <w:p w14:paraId="2FFEAE8F" w14:textId="0A68C857"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3.3. CSR – effects and consumer’s point of view</w:t>
      </w:r>
      <w:r w:rsidRPr="004F0E2C">
        <w:rPr>
          <w:noProof/>
          <w:lang w:val="en-GB"/>
        </w:rPr>
        <w:tab/>
      </w:r>
      <w:r>
        <w:rPr>
          <w:noProof/>
        </w:rPr>
        <w:fldChar w:fldCharType="begin"/>
      </w:r>
      <w:r w:rsidRPr="004F0E2C">
        <w:rPr>
          <w:noProof/>
          <w:lang w:val="en-GB"/>
        </w:rPr>
        <w:instrText xml:space="preserve"> PAGEREF _Toc143361655 \h </w:instrText>
      </w:r>
      <w:r>
        <w:rPr>
          <w:noProof/>
        </w:rPr>
      </w:r>
      <w:r>
        <w:rPr>
          <w:noProof/>
        </w:rPr>
        <w:fldChar w:fldCharType="separate"/>
      </w:r>
      <w:r w:rsidRPr="004F0E2C">
        <w:rPr>
          <w:noProof/>
          <w:lang w:val="en-GB"/>
        </w:rPr>
        <w:t>32</w:t>
      </w:r>
      <w:r>
        <w:rPr>
          <w:noProof/>
        </w:rPr>
        <w:fldChar w:fldCharType="end"/>
      </w:r>
    </w:p>
    <w:p w14:paraId="587B7578" w14:textId="0F661C64"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3.4. CSR and sustainability in the luxury (tourism) industry: an oxymoron or congruent concepts?</w:t>
      </w:r>
      <w:r w:rsidRPr="004F0E2C">
        <w:rPr>
          <w:noProof/>
          <w:lang w:val="en-GB"/>
        </w:rPr>
        <w:tab/>
      </w:r>
      <w:r>
        <w:rPr>
          <w:noProof/>
        </w:rPr>
        <w:fldChar w:fldCharType="begin"/>
      </w:r>
      <w:r w:rsidRPr="004F0E2C">
        <w:rPr>
          <w:noProof/>
          <w:lang w:val="en-GB"/>
        </w:rPr>
        <w:instrText xml:space="preserve"> PAGEREF _Toc143361656 \h </w:instrText>
      </w:r>
      <w:r>
        <w:rPr>
          <w:noProof/>
        </w:rPr>
      </w:r>
      <w:r>
        <w:rPr>
          <w:noProof/>
        </w:rPr>
        <w:fldChar w:fldCharType="separate"/>
      </w:r>
      <w:r w:rsidRPr="004F0E2C">
        <w:rPr>
          <w:noProof/>
          <w:lang w:val="en-GB"/>
        </w:rPr>
        <w:t>36</w:t>
      </w:r>
      <w:r>
        <w:rPr>
          <w:noProof/>
        </w:rPr>
        <w:fldChar w:fldCharType="end"/>
      </w:r>
    </w:p>
    <w:p w14:paraId="13566E6A" w14:textId="06737E9B" w:rsidR="004F0E2C" w:rsidRPr="004F0E2C" w:rsidRDefault="004F0E2C">
      <w:pPr>
        <w:pStyle w:val="Verzeichnis1"/>
        <w:rPr>
          <w:rFonts w:eastAsiaTheme="minorEastAsia" w:cstheme="minorBidi"/>
          <w:b w:val="0"/>
          <w:bCs w:val="0"/>
          <w:caps w:val="0"/>
          <w:noProof/>
          <w:sz w:val="22"/>
          <w:szCs w:val="22"/>
          <w:lang w:val="en-GB" w:eastAsia="de-DE"/>
        </w:rPr>
      </w:pPr>
      <w:r w:rsidRPr="00131C55">
        <w:rPr>
          <w:noProof/>
          <w:lang w:val="en-GB"/>
        </w:rPr>
        <w:t>4. Due Diligence Act</w:t>
      </w:r>
      <w:r w:rsidRPr="004F0E2C">
        <w:rPr>
          <w:noProof/>
          <w:lang w:val="en-GB"/>
        </w:rPr>
        <w:tab/>
      </w:r>
      <w:r>
        <w:rPr>
          <w:noProof/>
        </w:rPr>
        <w:fldChar w:fldCharType="begin"/>
      </w:r>
      <w:r w:rsidRPr="004F0E2C">
        <w:rPr>
          <w:noProof/>
          <w:lang w:val="en-GB"/>
        </w:rPr>
        <w:instrText xml:space="preserve"> PAGEREF _Toc143361657 \h </w:instrText>
      </w:r>
      <w:r>
        <w:rPr>
          <w:noProof/>
        </w:rPr>
      </w:r>
      <w:r>
        <w:rPr>
          <w:noProof/>
        </w:rPr>
        <w:fldChar w:fldCharType="separate"/>
      </w:r>
      <w:r w:rsidRPr="004F0E2C">
        <w:rPr>
          <w:noProof/>
          <w:lang w:val="en-GB"/>
        </w:rPr>
        <w:t>43</w:t>
      </w:r>
      <w:r>
        <w:rPr>
          <w:noProof/>
        </w:rPr>
        <w:fldChar w:fldCharType="end"/>
      </w:r>
    </w:p>
    <w:p w14:paraId="75D6889C" w14:textId="0F3D6090"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4.1. Due Diligence Act in Germany – what it is and what it entails</w:t>
      </w:r>
      <w:r w:rsidRPr="004F0E2C">
        <w:rPr>
          <w:noProof/>
          <w:lang w:val="en-GB"/>
        </w:rPr>
        <w:tab/>
      </w:r>
      <w:r>
        <w:rPr>
          <w:noProof/>
        </w:rPr>
        <w:fldChar w:fldCharType="begin"/>
      </w:r>
      <w:r w:rsidRPr="004F0E2C">
        <w:rPr>
          <w:noProof/>
          <w:lang w:val="en-GB"/>
        </w:rPr>
        <w:instrText xml:space="preserve"> PAGEREF _Toc143361658 \h </w:instrText>
      </w:r>
      <w:r>
        <w:rPr>
          <w:noProof/>
        </w:rPr>
      </w:r>
      <w:r>
        <w:rPr>
          <w:noProof/>
        </w:rPr>
        <w:fldChar w:fldCharType="separate"/>
      </w:r>
      <w:r w:rsidRPr="004F0E2C">
        <w:rPr>
          <w:noProof/>
          <w:lang w:val="en-GB"/>
        </w:rPr>
        <w:t>43</w:t>
      </w:r>
      <w:r>
        <w:rPr>
          <w:noProof/>
        </w:rPr>
        <w:fldChar w:fldCharType="end"/>
      </w:r>
    </w:p>
    <w:p w14:paraId="4243BA0A" w14:textId="659FBCCC"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4.2. Implications of the Due Diligence Act on the German Tour Operators</w:t>
      </w:r>
      <w:r w:rsidRPr="004F0E2C">
        <w:rPr>
          <w:noProof/>
          <w:lang w:val="en-GB"/>
        </w:rPr>
        <w:tab/>
      </w:r>
      <w:r>
        <w:rPr>
          <w:noProof/>
        </w:rPr>
        <w:fldChar w:fldCharType="begin"/>
      </w:r>
      <w:r w:rsidRPr="004F0E2C">
        <w:rPr>
          <w:noProof/>
          <w:lang w:val="en-GB"/>
        </w:rPr>
        <w:instrText xml:space="preserve"> PAGEREF _Toc143361659 \h </w:instrText>
      </w:r>
      <w:r>
        <w:rPr>
          <w:noProof/>
        </w:rPr>
      </w:r>
      <w:r>
        <w:rPr>
          <w:noProof/>
        </w:rPr>
        <w:fldChar w:fldCharType="separate"/>
      </w:r>
      <w:r w:rsidRPr="004F0E2C">
        <w:rPr>
          <w:noProof/>
          <w:lang w:val="en-GB"/>
        </w:rPr>
        <w:t>47</w:t>
      </w:r>
      <w:r>
        <w:rPr>
          <w:noProof/>
        </w:rPr>
        <w:fldChar w:fldCharType="end"/>
      </w:r>
    </w:p>
    <w:p w14:paraId="3B44E4BB" w14:textId="4953BA0D"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4.3. Due Diligence Act and CSR</w:t>
      </w:r>
      <w:r w:rsidRPr="004F0E2C">
        <w:rPr>
          <w:noProof/>
          <w:lang w:val="en-GB"/>
        </w:rPr>
        <w:tab/>
      </w:r>
      <w:r>
        <w:rPr>
          <w:noProof/>
        </w:rPr>
        <w:fldChar w:fldCharType="begin"/>
      </w:r>
      <w:r w:rsidRPr="004F0E2C">
        <w:rPr>
          <w:noProof/>
          <w:lang w:val="en-GB"/>
        </w:rPr>
        <w:instrText xml:space="preserve"> PAGEREF _Toc143361660 \h </w:instrText>
      </w:r>
      <w:r>
        <w:rPr>
          <w:noProof/>
        </w:rPr>
      </w:r>
      <w:r>
        <w:rPr>
          <w:noProof/>
        </w:rPr>
        <w:fldChar w:fldCharType="separate"/>
      </w:r>
      <w:r w:rsidRPr="004F0E2C">
        <w:rPr>
          <w:noProof/>
          <w:lang w:val="en-GB"/>
        </w:rPr>
        <w:t>48</w:t>
      </w:r>
      <w:r>
        <w:rPr>
          <w:noProof/>
        </w:rPr>
        <w:fldChar w:fldCharType="end"/>
      </w:r>
    </w:p>
    <w:p w14:paraId="5D079E44" w14:textId="71A128C2" w:rsidR="004F0E2C" w:rsidRPr="004F0E2C" w:rsidRDefault="004F0E2C">
      <w:pPr>
        <w:pStyle w:val="Verzeichnis1"/>
        <w:rPr>
          <w:rFonts w:eastAsiaTheme="minorEastAsia" w:cstheme="minorBidi"/>
          <w:b w:val="0"/>
          <w:bCs w:val="0"/>
          <w:caps w:val="0"/>
          <w:noProof/>
          <w:sz w:val="22"/>
          <w:szCs w:val="22"/>
          <w:lang w:val="en-GB" w:eastAsia="de-DE"/>
        </w:rPr>
      </w:pPr>
      <w:r w:rsidRPr="00131C55">
        <w:rPr>
          <w:noProof/>
          <w:lang w:val="en-GB"/>
        </w:rPr>
        <w:t>5. CSR for SME Tour Operators – a chance for change?</w:t>
      </w:r>
      <w:r w:rsidRPr="004F0E2C">
        <w:rPr>
          <w:noProof/>
          <w:lang w:val="en-GB"/>
        </w:rPr>
        <w:tab/>
      </w:r>
      <w:r>
        <w:rPr>
          <w:noProof/>
        </w:rPr>
        <w:fldChar w:fldCharType="begin"/>
      </w:r>
      <w:r w:rsidRPr="004F0E2C">
        <w:rPr>
          <w:noProof/>
          <w:lang w:val="en-GB"/>
        </w:rPr>
        <w:instrText xml:space="preserve"> PAGEREF _Toc143361661 \h </w:instrText>
      </w:r>
      <w:r>
        <w:rPr>
          <w:noProof/>
        </w:rPr>
      </w:r>
      <w:r>
        <w:rPr>
          <w:noProof/>
        </w:rPr>
        <w:fldChar w:fldCharType="separate"/>
      </w:r>
      <w:r w:rsidRPr="004F0E2C">
        <w:rPr>
          <w:noProof/>
          <w:lang w:val="en-GB"/>
        </w:rPr>
        <w:t>50</w:t>
      </w:r>
      <w:r>
        <w:rPr>
          <w:noProof/>
        </w:rPr>
        <w:fldChar w:fldCharType="end"/>
      </w:r>
    </w:p>
    <w:p w14:paraId="084F89B9" w14:textId="34ED4074"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5.1. Does the Due Diligence Act have the potential to facilitate change in the travel &amp; tourism industry?</w:t>
      </w:r>
      <w:r w:rsidRPr="004F0E2C">
        <w:rPr>
          <w:noProof/>
          <w:lang w:val="en-GB"/>
        </w:rPr>
        <w:tab/>
      </w:r>
      <w:r>
        <w:rPr>
          <w:noProof/>
        </w:rPr>
        <w:fldChar w:fldCharType="begin"/>
      </w:r>
      <w:r w:rsidRPr="004F0E2C">
        <w:rPr>
          <w:noProof/>
          <w:lang w:val="en-GB"/>
        </w:rPr>
        <w:instrText xml:space="preserve"> PAGEREF _Toc143361662 \h </w:instrText>
      </w:r>
      <w:r>
        <w:rPr>
          <w:noProof/>
        </w:rPr>
      </w:r>
      <w:r>
        <w:rPr>
          <w:noProof/>
        </w:rPr>
        <w:fldChar w:fldCharType="separate"/>
      </w:r>
      <w:r w:rsidRPr="004F0E2C">
        <w:rPr>
          <w:noProof/>
          <w:lang w:val="en-GB"/>
        </w:rPr>
        <w:t>51</w:t>
      </w:r>
      <w:r>
        <w:rPr>
          <w:noProof/>
        </w:rPr>
        <w:fldChar w:fldCharType="end"/>
      </w:r>
    </w:p>
    <w:p w14:paraId="6E632AB6" w14:textId="1A08B660" w:rsidR="004F0E2C" w:rsidRPr="004F0E2C" w:rsidRDefault="004F0E2C">
      <w:pPr>
        <w:pStyle w:val="Verzeichnis2"/>
        <w:tabs>
          <w:tab w:val="right" w:pos="9062"/>
        </w:tabs>
        <w:rPr>
          <w:rFonts w:eastAsiaTheme="minorEastAsia" w:cstheme="minorBidi"/>
          <w:smallCaps w:val="0"/>
          <w:noProof/>
          <w:sz w:val="22"/>
          <w:szCs w:val="22"/>
          <w:lang w:val="en-GB" w:eastAsia="de-DE"/>
        </w:rPr>
      </w:pPr>
      <w:r w:rsidRPr="00131C55">
        <w:rPr>
          <w:noProof/>
          <w:lang w:val="en-GB"/>
        </w:rPr>
        <w:t>5.2. CSR for SME Tour Operators – challenges and opportunities to change</w:t>
      </w:r>
      <w:r w:rsidRPr="004F0E2C">
        <w:rPr>
          <w:noProof/>
          <w:lang w:val="en-GB"/>
        </w:rPr>
        <w:tab/>
      </w:r>
      <w:r>
        <w:rPr>
          <w:noProof/>
        </w:rPr>
        <w:fldChar w:fldCharType="begin"/>
      </w:r>
      <w:r w:rsidRPr="004F0E2C">
        <w:rPr>
          <w:noProof/>
          <w:lang w:val="en-GB"/>
        </w:rPr>
        <w:instrText xml:space="preserve"> PAGEREF _Toc143361663 \h </w:instrText>
      </w:r>
      <w:r>
        <w:rPr>
          <w:noProof/>
        </w:rPr>
      </w:r>
      <w:r>
        <w:rPr>
          <w:noProof/>
        </w:rPr>
        <w:fldChar w:fldCharType="separate"/>
      </w:r>
      <w:r w:rsidRPr="004F0E2C">
        <w:rPr>
          <w:noProof/>
          <w:lang w:val="en-GB"/>
        </w:rPr>
        <w:t>54</w:t>
      </w:r>
      <w:r>
        <w:rPr>
          <w:noProof/>
        </w:rPr>
        <w:fldChar w:fldCharType="end"/>
      </w:r>
    </w:p>
    <w:p w14:paraId="6D6A8445" w14:textId="202DA8AE" w:rsidR="004F0E2C" w:rsidRDefault="004F0E2C">
      <w:pPr>
        <w:pStyle w:val="Verzeichnis1"/>
        <w:rPr>
          <w:rFonts w:eastAsiaTheme="minorEastAsia" w:cstheme="minorBidi"/>
          <w:b w:val="0"/>
          <w:bCs w:val="0"/>
          <w:caps w:val="0"/>
          <w:noProof/>
          <w:sz w:val="22"/>
          <w:szCs w:val="22"/>
          <w:lang w:eastAsia="de-DE"/>
        </w:rPr>
      </w:pPr>
      <w:r w:rsidRPr="00131C55">
        <w:rPr>
          <w:noProof/>
          <w:lang w:val="en-GB"/>
        </w:rPr>
        <w:t>6. Conclusion</w:t>
      </w:r>
      <w:r>
        <w:rPr>
          <w:noProof/>
        </w:rPr>
        <w:tab/>
      </w:r>
      <w:r>
        <w:rPr>
          <w:noProof/>
        </w:rPr>
        <w:fldChar w:fldCharType="begin"/>
      </w:r>
      <w:r>
        <w:rPr>
          <w:noProof/>
        </w:rPr>
        <w:instrText xml:space="preserve"> PAGEREF _Toc143361664 \h </w:instrText>
      </w:r>
      <w:r>
        <w:rPr>
          <w:noProof/>
        </w:rPr>
      </w:r>
      <w:r>
        <w:rPr>
          <w:noProof/>
        </w:rPr>
        <w:fldChar w:fldCharType="separate"/>
      </w:r>
      <w:r>
        <w:rPr>
          <w:noProof/>
        </w:rPr>
        <w:t>61</w:t>
      </w:r>
      <w:r>
        <w:rPr>
          <w:noProof/>
        </w:rPr>
        <w:fldChar w:fldCharType="end"/>
      </w:r>
    </w:p>
    <w:p w14:paraId="1456C683" w14:textId="77777777" w:rsidR="00123E94" w:rsidRDefault="00AE26EB" w:rsidP="00F7198D">
      <w:pPr>
        <w:pStyle w:val="berschrift1"/>
        <w:contextualSpacing/>
        <w:rPr>
          <w:rFonts w:cs="Times New Roman"/>
          <w:sz w:val="24"/>
          <w:szCs w:val="24"/>
        </w:rPr>
        <w:sectPr w:rsidR="00123E94" w:rsidSect="004F0E2C">
          <w:headerReference w:type="default" r:id="rId10"/>
          <w:footerReference w:type="default" r:id="rId11"/>
          <w:pgSz w:w="11906" w:h="16838"/>
          <w:pgMar w:top="1417" w:right="1417" w:bottom="1134" w:left="1417" w:header="708" w:footer="708" w:gutter="0"/>
          <w:pgNumType w:fmt="lowerRoman" w:start="2"/>
          <w:cols w:space="708"/>
          <w:docGrid w:linePitch="360"/>
        </w:sectPr>
      </w:pPr>
      <w:r w:rsidRPr="00EC5135">
        <w:rPr>
          <w:rFonts w:cs="Times New Roman"/>
          <w:sz w:val="24"/>
          <w:szCs w:val="24"/>
        </w:rPr>
        <w:fldChar w:fldCharType="end"/>
      </w:r>
    </w:p>
    <w:p w14:paraId="12EA09ED" w14:textId="61935295" w:rsidR="00F7198D" w:rsidRDefault="00123E94" w:rsidP="00123E94">
      <w:pPr>
        <w:pStyle w:val="berschrift1"/>
        <w:jc w:val="left"/>
        <w:rPr>
          <w:rStyle w:val="berschrift1Zchn"/>
          <w:b/>
        </w:rPr>
      </w:pPr>
      <w:bookmarkStart w:id="1" w:name="_Toc143361640"/>
      <w:r>
        <w:rPr>
          <w:rStyle w:val="berschrift1Zchn"/>
          <w:b/>
        </w:rPr>
        <w:lastRenderedPageBreak/>
        <w:t>List of Tables</w:t>
      </w:r>
      <w:bookmarkEnd w:id="1"/>
    </w:p>
    <w:p w14:paraId="37E958E5" w14:textId="42A087C4" w:rsidR="004F0E2C" w:rsidRPr="004F0E2C" w:rsidRDefault="000F360C" w:rsidP="004F0E2C">
      <w:pPr>
        <w:pStyle w:val="Abbildungsverzeichnis"/>
        <w:tabs>
          <w:tab w:val="right" w:pos="9062"/>
        </w:tabs>
        <w:ind w:left="764"/>
        <w:rPr>
          <w:rFonts w:ascii="Times New Roman" w:eastAsiaTheme="minorEastAsia" w:hAnsi="Times New Roman" w:cs="Times New Roman"/>
          <w:b w:val="0"/>
          <w:bCs w:val="0"/>
          <w:noProof/>
          <w:sz w:val="24"/>
          <w:szCs w:val="24"/>
          <w:lang w:eastAsia="de-DE"/>
        </w:rPr>
      </w:pPr>
      <w:r w:rsidRPr="004F0E2C">
        <w:rPr>
          <w:rFonts w:ascii="Times New Roman" w:hAnsi="Times New Roman" w:cs="Times New Roman"/>
          <w:b w:val="0"/>
          <w:bCs w:val="0"/>
          <w:sz w:val="24"/>
          <w:szCs w:val="24"/>
        </w:rPr>
        <w:fldChar w:fldCharType="begin"/>
      </w:r>
      <w:r w:rsidRPr="004F0E2C">
        <w:rPr>
          <w:rFonts w:ascii="Times New Roman" w:hAnsi="Times New Roman" w:cs="Times New Roman"/>
          <w:b w:val="0"/>
          <w:bCs w:val="0"/>
          <w:sz w:val="24"/>
          <w:szCs w:val="24"/>
        </w:rPr>
        <w:instrText xml:space="preserve"> TOC \h \z \c "Table" </w:instrText>
      </w:r>
      <w:r w:rsidRPr="004F0E2C">
        <w:rPr>
          <w:rFonts w:ascii="Times New Roman" w:hAnsi="Times New Roman" w:cs="Times New Roman"/>
          <w:b w:val="0"/>
          <w:bCs w:val="0"/>
          <w:sz w:val="24"/>
          <w:szCs w:val="24"/>
        </w:rPr>
        <w:fldChar w:fldCharType="separate"/>
      </w:r>
      <w:hyperlink w:anchor="_Toc143361370" w:history="1">
        <w:r w:rsidR="004F0E2C" w:rsidRPr="004F0E2C">
          <w:rPr>
            <w:rStyle w:val="Hyperlink"/>
            <w:rFonts w:ascii="Times New Roman" w:hAnsi="Times New Roman" w:cs="Times New Roman"/>
            <w:b w:val="0"/>
            <w:bCs w:val="0"/>
            <w:noProof/>
            <w:sz w:val="24"/>
            <w:szCs w:val="24"/>
            <w:lang w:val="en-GB"/>
          </w:rPr>
          <w:t>Table 1: Different positions on design of the law (Weihrauch, Carodenuto and Leipold, 2022</w:t>
        </w:r>
        <w:r w:rsidR="004F0E2C" w:rsidRPr="004F0E2C">
          <w:rPr>
            <w:rFonts w:ascii="Times New Roman" w:hAnsi="Times New Roman" w:cs="Times New Roman"/>
            <w:b w:val="0"/>
            <w:bCs w:val="0"/>
            <w:noProof/>
            <w:webHidden/>
            <w:sz w:val="24"/>
            <w:szCs w:val="24"/>
          </w:rPr>
          <w:tab/>
        </w:r>
        <w:r w:rsidR="004F0E2C" w:rsidRPr="004F0E2C">
          <w:rPr>
            <w:rFonts w:ascii="Times New Roman" w:hAnsi="Times New Roman" w:cs="Times New Roman"/>
            <w:b w:val="0"/>
            <w:bCs w:val="0"/>
            <w:noProof/>
            <w:webHidden/>
            <w:sz w:val="24"/>
            <w:szCs w:val="24"/>
          </w:rPr>
          <w:fldChar w:fldCharType="begin"/>
        </w:r>
        <w:r w:rsidR="004F0E2C" w:rsidRPr="004F0E2C">
          <w:rPr>
            <w:rFonts w:ascii="Times New Roman" w:hAnsi="Times New Roman" w:cs="Times New Roman"/>
            <w:b w:val="0"/>
            <w:bCs w:val="0"/>
            <w:noProof/>
            <w:webHidden/>
            <w:sz w:val="24"/>
            <w:szCs w:val="24"/>
          </w:rPr>
          <w:instrText xml:space="preserve"> PAGEREF _Toc143361370 \h </w:instrText>
        </w:r>
        <w:r w:rsidR="004F0E2C" w:rsidRPr="004F0E2C">
          <w:rPr>
            <w:rFonts w:ascii="Times New Roman" w:hAnsi="Times New Roman" w:cs="Times New Roman"/>
            <w:b w:val="0"/>
            <w:bCs w:val="0"/>
            <w:noProof/>
            <w:webHidden/>
            <w:sz w:val="24"/>
            <w:szCs w:val="24"/>
          </w:rPr>
        </w:r>
        <w:r w:rsidR="004F0E2C" w:rsidRPr="004F0E2C">
          <w:rPr>
            <w:rFonts w:ascii="Times New Roman" w:hAnsi="Times New Roman" w:cs="Times New Roman"/>
            <w:b w:val="0"/>
            <w:bCs w:val="0"/>
            <w:noProof/>
            <w:webHidden/>
            <w:sz w:val="24"/>
            <w:szCs w:val="24"/>
          </w:rPr>
          <w:fldChar w:fldCharType="separate"/>
        </w:r>
        <w:r w:rsidR="004F0E2C" w:rsidRPr="004F0E2C">
          <w:rPr>
            <w:rFonts w:ascii="Times New Roman" w:hAnsi="Times New Roman" w:cs="Times New Roman"/>
            <w:b w:val="0"/>
            <w:bCs w:val="0"/>
            <w:noProof/>
            <w:webHidden/>
            <w:sz w:val="24"/>
            <w:szCs w:val="24"/>
          </w:rPr>
          <w:t>46</w:t>
        </w:r>
        <w:r w:rsidR="004F0E2C" w:rsidRPr="004F0E2C">
          <w:rPr>
            <w:rFonts w:ascii="Times New Roman" w:hAnsi="Times New Roman" w:cs="Times New Roman"/>
            <w:b w:val="0"/>
            <w:bCs w:val="0"/>
            <w:noProof/>
            <w:webHidden/>
            <w:sz w:val="24"/>
            <w:szCs w:val="24"/>
          </w:rPr>
          <w:fldChar w:fldCharType="end"/>
        </w:r>
      </w:hyperlink>
    </w:p>
    <w:p w14:paraId="6406DBD0" w14:textId="0E041D57" w:rsidR="000F360C" w:rsidRDefault="000F360C" w:rsidP="004F0E2C">
      <w:pPr>
        <w:ind w:left="284"/>
        <w:rPr>
          <w:rFonts w:cs="Times New Roman"/>
          <w:szCs w:val="24"/>
        </w:rPr>
      </w:pPr>
      <w:r w:rsidRPr="004F0E2C">
        <w:rPr>
          <w:rFonts w:cs="Times New Roman"/>
          <w:szCs w:val="24"/>
        </w:rPr>
        <w:fldChar w:fldCharType="end"/>
      </w:r>
    </w:p>
    <w:p w14:paraId="67EF11BD" w14:textId="77777777" w:rsidR="004F0E2C" w:rsidRDefault="004F0E2C" w:rsidP="004F0E2C">
      <w:pPr>
        <w:ind w:left="284"/>
        <w:rPr>
          <w:rFonts w:cs="Times New Roman"/>
          <w:szCs w:val="24"/>
        </w:rPr>
      </w:pPr>
    </w:p>
    <w:p w14:paraId="629B8A1B" w14:textId="77777777" w:rsidR="004F0E2C" w:rsidRDefault="004F0E2C" w:rsidP="004F0E2C">
      <w:pPr>
        <w:ind w:left="284"/>
      </w:pPr>
    </w:p>
    <w:p w14:paraId="131767B6" w14:textId="77777777" w:rsidR="006E0D08" w:rsidRDefault="006E0D08" w:rsidP="004F0E2C">
      <w:pPr>
        <w:ind w:left="284"/>
      </w:pPr>
    </w:p>
    <w:p w14:paraId="3A4BCC17" w14:textId="3FC3E4BC" w:rsidR="00123E94" w:rsidRDefault="00123E94" w:rsidP="00123E94">
      <w:pPr>
        <w:pStyle w:val="berschrift1"/>
        <w:jc w:val="left"/>
        <w:rPr>
          <w:rStyle w:val="berschrift1Zchn"/>
          <w:b/>
          <w:lang w:val="en-GB"/>
        </w:rPr>
      </w:pPr>
      <w:bookmarkStart w:id="2" w:name="_Toc143361641"/>
      <w:r w:rsidRPr="00A73DA7">
        <w:rPr>
          <w:rStyle w:val="berschrift1Zchn"/>
          <w:b/>
          <w:lang w:val="en-GB"/>
        </w:rPr>
        <w:t xml:space="preserve">List of </w:t>
      </w:r>
      <w:r w:rsidR="00A73DA7" w:rsidRPr="00A73DA7">
        <w:rPr>
          <w:rStyle w:val="berschrift1Zchn"/>
          <w:b/>
          <w:lang w:val="en-GB"/>
        </w:rPr>
        <w:t>F</w:t>
      </w:r>
      <w:r w:rsidR="00A73DA7">
        <w:rPr>
          <w:rStyle w:val="berschrift1Zchn"/>
          <w:b/>
          <w:lang w:val="en-GB"/>
        </w:rPr>
        <w:t>igures</w:t>
      </w:r>
      <w:bookmarkEnd w:id="2"/>
    </w:p>
    <w:p w14:paraId="53BDF068" w14:textId="53A058F3" w:rsidR="000F360C" w:rsidRPr="000F360C" w:rsidRDefault="00747088" w:rsidP="000F360C">
      <w:pPr>
        <w:pStyle w:val="Abbildungsverzeichnis"/>
        <w:tabs>
          <w:tab w:val="right" w:pos="9062"/>
        </w:tabs>
        <w:spacing w:after="120"/>
        <w:ind w:left="764"/>
        <w:rPr>
          <w:rFonts w:ascii="Times New Roman" w:eastAsiaTheme="minorEastAsia" w:hAnsi="Times New Roman" w:cs="Times New Roman"/>
          <w:b w:val="0"/>
          <w:bCs w:val="0"/>
          <w:noProof/>
          <w:sz w:val="24"/>
          <w:szCs w:val="24"/>
          <w:lang w:val="en-GB" w:eastAsia="de-DE"/>
        </w:rPr>
      </w:pPr>
      <w:r w:rsidRPr="000F360C">
        <w:rPr>
          <w:rFonts w:ascii="Times New Roman" w:hAnsi="Times New Roman" w:cs="Times New Roman"/>
          <w:b w:val="0"/>
          <w:bCs w:val="0"/>
          <w:sz w:val="24"/>
          <w:szCs w:val="24"/>
          <w:lang w:val="en-GB"/>
        </w:rPr>
        <w:fldChar w:fldCharType="begin"/>
      </w:r>
      <w:r w:rsidRPr="000F360C">
        <w:rPr>
          <w:rFonts w:ascii="Times New Roman" w:hAnsi="Times New Roman" w:cs="Times New Roman"/>
          <w:b w:val="0"/>
          <w:bCs w:val="0"/>
          <w:sz w:val="24"/>
          <w:szCs w:val="24"/>
          <w:lang w:val="en-GB"/>
        </w:rPr>
        <w:instrText xml:space="preserve"> TOC \c "Figure" </w:instrText>
      </w:r>
      <w:r w:rsidRPr="000F360C">
        <w:rPr>
          <w:rFonts w:ascii="Times New Roman" w:hAnsi="Times New Roman" w:cs="Times New Roman"/>
          <w:b w:val="0"/>
          <w:bCs w:val="0"/>
          <w:sz w:val="24"/>
          <w:szCs w:val="24"/>
          <w:lang w:val="en-GB"/>
        </w:rPr>
        <w:fldChar w:fldCharType="separate"/>
      </w:r>
      <w:r w:rsidR="000F360C" w:rsidRPr="000F360C">
        <w:rPr>
          <w:rFonts w:ascii="Times New Roman" w:hAnsi="Times New Roman" w:cs="Times New Roman"/>
          <w:b w:val="0"/>
          <w:bCs w:val="0"/>
          <w:noProof/>
          <w:sz w:val="24"/>
          <w:szCs w:val="24"/>
          <w:lang w:val="en-GB"/>
        </w:rPr>
        <w:t>Figure 1: International tourism, number of arrivals (United Nations World Tourism Organisation, 2021)</w:t>
      </w:r>
      <w:r w:rsidR="000F360C" w:rsidRPr="000F360C">
        <w:rPr>
          <w:rFonts w:ascii="Times New Roman" w:hAnsi="Times New Roman" w:cs="Times New Roman"/>
          <w:b w:val="0"/>
          <w:bCs w:val="0"/>
          <w:noProof/>
          <w:sz w:val="24"/>
          <w:szCs w:val="24"/>
          <w:lang w:val="en-GB"/>
        </w:rPr>
        <w:tab/>
      </w:r>
      <w:r w:rsidR="000F360C" w:rsidRPr="000F360C">
        <w:rPr>
          <w:rFonts w:ascii="Times New Roman" w:hAnsi="Times New Roman" w:cs="Times New Roman"/>
          <w:b w:val="0"/>
          <w:bCs w:val="0"/>
          <w:noProof/>
          <w:sz w:val="24"/>
          <w:szCs w:val="24"/>
        </w:rPr>
        <w:fldChar w:fldCharType="begin"/>
      </w:r>
      <w:r w:rsidR="000F360C" w:rsidRPr="000F360C">
        <w:rPr>
          <w:rFonts w:ascii="Times New Roman" w:hAnsi="Times New Roman" w:cs="Times New Roman"/>
          <w:b w:val="0"/>
          <w:bCs w:val="0"/>
          <w:noProof/>
          <w:sz w:val="24"/>
          <w:szCs w:val="24"/>
          <w:lang w:val="en-GB"/>
        </w:rPr>
        <w:instrText xml:space="preserve"> PAGEREF _Toc143361077 \h </w:instrText>
      </w:r>
      <w:r w:rsidR="000F360C" w:rsidRPr="000F360C">
        <w:rPr>
          <w:rFonts w:ascii="Times New Roman" w:hAnsi="Times New Roman" w:cs="Times New Roman"/>
          <w:b w:val="0"/>
          <w:bCs w:val="0"/>
          <w:noProof/>
          <w:sz w:val="24"/>
          <w:szCs w:val="24"/>
        </w:rPr>
      </w:r>
      <w:r w:rsidR="000F360C" w:rsidRPr="000F360C">
        <w:rPr>
          <w:rFonts w:ascii="Times New Roman" w:hAnsi="Times New Roman" w:cs="Times New Roman"/>
          <w:b w:val="0"/>
          <w:bCs w:val="0"/>
          <w:noProof/>
          <w:sz w:val="24"/>
          <w:szCs w:val="24"/>
        </w:rPr>
        <w:fldChar w:fldCharType="separate"/>
      </w:r>
      <w:r w:rsidR="000F360C" w:rsidRPr="000F360C">
        <w:rPr>
          <w:rFonts w:ascii="Times New Roman" w:hAnsi="Times New Roman" w:cs="Times New Roman"/>
          <w:b w:val="0"/>
          <w:bCs w:val="0"/>
          <w:noProof/>
          <w:sz w:val="24"/>
          <w:szCs w:val="24"/>
          <w:lang w:val="en-GB"/>
        </w:rPr>
        <w:t>7</w:t>
      </w:r>
      <w:r w:rsidR="000F360C" w:rsidRPr="000F360C">
        <w:rPr>
          <w:rFonts w:ascii="Times New Roman" w:hAnsi="Times New Roman" w:cs="Times New Roman"/>
          <w:b w:val="0"/>
          <w:bCs w:val="0"/>
          <w:noProof/>
          <w:sz w:val="24"/>
          <w:szCs w:val="24"/>
        </w:rPr>
        <w:fldChar w:fldCharType="end"/>
      </w:r>
    </w:p>
    <w:p w14:paraId="38BCAE88" w14:textId="292976BD" w:rsidR="000F360C" w:rsidRPr="000F360C" w:rsidRDefault="000F360C" w:rsidP="000F360C">
      <w:pPr>
        <w:pStyle w:val="Abbildungsverzeichnis"/>
        <w:tabs>
          <w:tab w:val="right" w:pos="9062"/>
        </w:tabs>
        <w:spacing w:after="120"/>
        <w:ind w:left="764"/>
        <w:rPr>
          <w:rFonts w:ascii="Times New Roman" w:eastAsiaTheme="minorEastAsia" w:hAnsi="Times New Roman" w:cs="Times New Roman"/>
          <w:b w:val="0"/>
          <w:bCs w:val="0"/>
          <w:noProof/>
          <w:sz w:val="24"/>
          <w:szCs w:val="24"/>
          <w:lang w:val="en-GB" w:eastAsia="de-DE"/>
        </w:rPr>
      </w:pPr>
      <w:r w:rsidRPr="000F360C">
        <w:rPr>
          <w:rFonts w:ascii="Times New Roman" w:hAnsi="Times New Roman" w:cs="Times New Roman"/>
          <w:b w:val="0"/>
          <w:bCs w:val="0"/>
          <w:noProof/>
          <w:sz w:val="24"/>
          <w:szCs w:val="24"/>
          <w:lang w:val="en-GB"/>
        </w:rPr>
        <w:t>Figure 2: WORLD’S TRAVEL &amp; TOURISM GDP GROWTH VS. ECONOMY GDP GROWTH, 2011-19 (WTTC, 2020)</w:t>
      </w:r>
      <w:r w:rsidRPr="000F360C">
        <w:rPr>
          <w:rFonts w:ascii="Times New Roman" w:hAnsi="Times New Roman" w:cs="Times New Roman"/>
          <w:b w:val="0"/>
          <w:bCs w:val="0"/>
          <w:noProof/>
          <w:sz w:val="24"/>
          <w:szCs w:val="24"/>
          <w:lang w:val="en-GB"/>
        </w:rPr>
        <w:tab/>
      </w:r>
      <w:r w:rsidRPr="000F360C">
        <w:rPr>
          <w:rFonts w:ascii="Times New Roman" w:hAnsi="Times New Roman" w:cs="Times New Roman"/>
          <w:b w:val="0"/>
          <w:bCs w:val="0"/>
          <w:noProof/>
          <w:sz w:val="24"/>
          <w:szCs w:val="24"/>
        </w:rPr>
        <w:fldChar w:fldCharType="begin"/>
      </w:r>
      <w:r w:rsidRPr="000F360C">
        <w:rPr>
          <w:rFonts w:ascii="Times New Roman" w:hAnsi="Times New Roman" w:cs="Times New Roman"/>
          <w:b w:val="0"/>
          <w:bCs w:val="0"/>
          <w:noProof/>
          <w:sz w:val="24"/>
          <w:szCs w:val="24"/>
          <w:lang w:val="en-GB"/>
        </w:rPr>
        <w:instrText xml:space="preserve"> PAGEREF _Toc143361078 \h </w:instrText>
      </w:r>
      <w:r w:rsidRPr="000F360C">
        <w:rPr>
          <w:rFonts w:ascii="Times New Roman" w:hAnsi="Times New Roman" w:cs="Times New Roman"/>
          <w:b w:val="0"/>
          <w:bCs w:val="0"/>
          <w:noProof/>
          <w:sz w:val="24"/>
          <w:szCs w:val="24"/>
        </w:rPr>
      </w:r>
      <w:r w:rsidRPr="000F360C">
        <w:rPr>
          <w:rFonts w:ascii="Times New Roman" w:hAnsi="Times New Roman" w:cs="Times New Roman"/>
          <w:b w:val="0"/>
          <w:bCs w:val="0"/>
          <w:noProof/>
          <w:sz w:val="24"/>
          <w:szCs w:val="24"/>
        </w:rPr>
        <w:fldChar w:fldCharType="separate"/>
      </w:r>
      <w:r w:rsidRPr="000F360C">
        <w:rPr>
          <w:rFonts w:ascii="Times New Roman" w:hAnsi="Times New Roman" w:cs="Times New Roman"/>
          <w:b w:val="0"/>
          <w:bCs w:val="0"/>
          <w:noProof/>
          <w:sz w:val="24"/>
          <w:szCs w:val="24"/>
          <w:lang w:val="en-GB"/>
        </w:rPr>
        <w:t>7</w:t>
      </w:r>
      <w:r w:rsidRPr="000F360C">
        <w:rPr>
          <w:rFonts w:ascii="Times New Roman" w:hAnsi="Times New Roman" w:cs="Times New Roman"/>
          <w:b w:val="0"/>
          <w:bCs w:val="0"/>
          <w:noProof/>
          <w:sz w:val="24"/>
          <w:szCs w:val="24"/>
        </w:rPr>
        <w:fldChar w:fldCharType="end"/>
      </w:r>
    </w:p>
    <w:p w14:paraId="39806EB3" w14:textId="3C7531C8" w:rsidR="000F360C" w:rsidRPr="000F360C" w:rsidRDefault="000F360C" w:rsidP="000F360C">
      <w:pPr>
        <w:pStyle w:val="Abbildungsverzeichnis"/>
        <w:tabs>
          <w:tab w:val="right" w:pos="9062"/>
        </w:tabs>
        <w:spacing w:after="120"/>
        <w:ind w:left="764"/>
        <w:rPr>
          <w:rFonts w:ascii="Times New Roman" w:eastAsiaTheme="minorEastAsia" w:hAnsi="Times New Roman" w:cs="Times New Roman"/>
          <w:b w:val="0"/>
          <w:bCs w:val="0"/>
          <w:noProof/>
          <w:sz w:val="24"/>
          <w:szCs w:val="24"/>
          <w:lang w:val="en-GB" w:eastAsia="de-DE"/>
        </w:rPr>
      </w:pPr>
      <w:r w:rsidRPr="000F360C">
        <w:rPr>
          <w:rFonts w:ascii="Times New Roman" w:hAnsi="Times New Roman" w:cs="Times New Roman"/>
          <w:b w:val="0"/>
          <w:bCs w:val="0"/>
          <w:noProof/>
          <w:sz w:val="24"/>
          <w:szCs w:val="24"/>
          <w:lang w:val="en-GB"/>
        </w:rPr>
        <w:t>Figure 3: Tourism System after Pompl (1997)</w:t>
      </w:r>
      <w:r w:rsidRPr="000F360C">
        <w:rPr>
          <w:rFonts w:ascii="Times New Roman" w:hAnsi="Times New Roman" w:cs="Times New Roman"/>
          <w:b w:val="0"/>
          <w:bCs w:val="0"/>
          <w:noProof/>
          <w:sz w:val="24"/>
          <w:szCs w:val="24"/>
          <w:lang w:val="en-GB"/>
        </w:rPr>
        <w:tab/>
      </w:r>
      <w:r w:rsidRPr="000F360C">
        <w:rPr>
          <w:rFonts w:ascii="Times New Roman" w:hAnsi="Times New Roman" w:cs="Times New Roman"/>
          <w:b w:val="0"/>
          <w:bCs w:val="0"/>
          <w:noProof/>
          <w:sz w:val="24"/>
          <w:szCs w:val="24"/>
        </w:rPr>
        <w:fldChar w:fldCharType="begin"/>
      </w:r>
      <w:r w:rsidRPr="000F360C">
        <w:rPr>
          <w:rFonts w:ascii="Times New Roman" w:hAnsi="Times New Roman" w:cs="Times New Roman"/>
          <w:b w:val="0"/>
          <w:bCs w:val="0"/>
          <w:noProof/>
          <w:sz w:val="24"/>
          <w:szCs w:val="24"/>
          <w:lang w:val="en-GB"/>
        </w:rPr>
        <w:instrText xml:space="preserve"> PAGEREF _Toc143361079 \h </w:instrText>
      </w:r>
      <w:r w:rsidRPr="000F360C">
        <w:rPr>
          <w:rFonts w:ascii="Times New Roman" w:hAnsi="Times New Roman" w:cs="Times New Roman"/>
          <w:b w:val="0"/>
          <w:bCs w:val="0"/>
          <w:noProof/>
          <w:sz w:val="24"/>
          <w:szCs w:val="24"/>
        </w:rPr>
      </w:r>
      <w:r w:rsidRPr="000F360C">
        <w:rPr>
          <w:rFonts w:ascii="Times New Roman" w:hAnsi="Times New Roman" w:cs="Times New Roman"/>
          <w:b w:val="0"/>
          <w:bCs w:val="0"/>
          <w:noProof/>
          <w:sz w:val="24"/>
          <w:szCs w:val="24"/>
        </w:rPr>
        <w:fldChar w:fldCharType="separate"/>
      </w:r>
      <w:r w:rsidRPr="000F360C">
        <w:rPr>
          <w:rFonts w:ascii="Times New Roman" w:hAnsi="Times New Roman" w:cs="Times New Roman"/>
          <w:b w:val="0"/>
          <w:bCs w:val="0"/>
          <w:noProof/>
          <w:sz w:val="24"/>
          <w:szCs w:val="24"/>
          <w:lang w:val="en-GB"/>
        </w:rPr>
        <w:t>11</w:t>
      </w:r>
      <w:r w:rsidRPr="000F360C">
        <w:rPr>
          <w:rFonts w:ascii="Times New Roman" w:hAnsi="Times New Roman" w:cs="Times New Roman"/>
          <w:b w:val="0"/>
          <w:bCs w:val="0"/>
          <w:noProof/>
          <w:sz w:val="24"/>
          <w:szCs w:val="24"/>
        </w:rPr>
        <w:fldChar w:fldCharType="end"/>
      </w:r>
    </w:p>
    <w:p w14:paraId="0F2393F5" w14:textId="484AEDA3" w:rsidR="000F360C" w:rsidRPr="000F360C" w:rsidRDefault="000F360C" w:rsidP="000F360C">
      <w:pPr>
        <w:pStyle w:val="Abbildungsverzeichnis"/>
        <w:tabs>
          <w:tab w:val="right" w:pos="9062"/>
        </w:tabs>
        <w:spacing w:after="120"/>
        <w:ind w:left="764"/>
        <w:rPr>
          <w:rFonts w:ascii="Times New Roman" w:eastAsiaTheme="minorEastAsia" w:hAnsi="Times New Roman" w:cs="Times New Roman"/>
          <w:b w:val="0"/>
          <w:bCs w:val="0"/>
          <w:noProof/>
          <w:sz w:val="24"/>
          <w:szCs w:val="24"/>
          <w:lang w:val="en-GB" w:eastAsia="de-DE"/>
        </w:rPr>
      </w:pPr>
      <w:r w:rsidRPr="000F360C">
        <w:rPr>
          <w:rFonts w:ascii="Times New Roman" w:hAnsi="Times New Roman" w:cs="Times New Roman"/>
          <w:b w:val="0"/>
          <w:bCs w:val="0"/>
          <w:noProof/>
          <w:sz w:val="24"/>
          <w:szCs w:val="24"/>
          <w:lang w:val="en-GB"/>
        </w:rPr>
        <w:t>Figure 4: Simplified View of TO booking channels</w:t>
      </w:r>
      <w:r w:rsidRPr="000F360C">
        <w:rPr>
          <w:rFonts w:ascii="Times New Roman" w:hAnsi="Times New Roman" w:cs="Times New Roman"/>
          <w:b w:val="0"/>
          <w:bCs w:val="0"/>
          <w:noProof/>
          <w:sz w:val="24"/>
          <w:szCs w:val="24"/>
          <w:lang w:val="en-GB"/>
        </w:rPr>
        <w:tab/>
      </w:r>
      <w:r w:rsidRPr="000F360C">
        <w:rPr>
          <w:rFonts w:ascii="Times New Roman" w:hAnsi="Times New Roman" w:cs="Times New Roman"/>
          <w:b w:val="0"/>
          <w:bCs w:val="0"/>
          <w:noProof/>
          <w:sz w:val="24"/>
          <w:szCs w:val="24"/>
        </w:rPr>
        <w:fldChar w:fldCharType="begin"/>
      </w:r>
      <w:r w:rsidRPr="000F360C">
        <w:rPr>
          <w:rFonts w:ascii="Times New Roman" w:hAnsi="Times New Roman" w:cs="Times New Roman"/>
          <w:b w:val="0"/>
          <w:bCs w:val="0"/>
          <w:noProof/>
          <w:sz w:val="24"/>
          <w:szCs w:val="24"/>
          <w:lang w:val="en-GB"/>
        </w:rPr>
        <w:instrText xml:space="preserve"> PAGEREF _Toc143361080 \h </w:instrText>
      </w:r>
      <w:r w:rsidRPr="000F360C">
        <w:rPr>
          <w:rFonts w:ascii="Times New Roman" w:hAnsi="Times New Roman" w:cs="Times New Roman"/>
          <w:b w:val="0"/>
          <w:bCs w:val="0"/>
          <w:noProof/>
          <w:sz w:val="24"/>
          <w:szCs w:val="24"/>
        </w:rPr>
      </w:r>
      <w:r w:rsidRPr="000F360C">
        <w:rPr>
          <w:rFonts w:ascii="Times New Roman" w:hAnsi="Times New Roman" w:cs="Times New Roman"/>
          <w:b w:val="0"/>
          <w:bCs w:val="0"/>
          <w:noProof/>
          <w:sz w:val="24"/>
          <w:szCs w:val="24"/>
        </w:rPr>
        <w:fldChar w:fldCharType="separate"/>
      </w:r>
      <w:r w:rsidRPr="000F360C">
        <w:rPr>
          <w:rFonts w:ascii="Times New Roman" w:hAnsi="Times New Roman" w:cs="Times New Roman"/>
          <w:b w:val="0"/>
          <w:bCs w:val="0"/>
          <w:noProof/>
          <w:sz w:val="24"/>
          <w:szCs w:val="24"/>
          <w:lang w:val="en-GB"/>
        </w:rPr>
        <w:t>13</w:t>
      </w:r>
      <w:r w:rsidRPr="000F360C">
        <w:rPr>
          <w:rFonts w:ascii="Times New Roman" w:hAnsi="Times New Roman" w:cs="Times New Roman"/>
          <w:b w:val="0"/>
          <w:bCs w:val="0"/>
          <w:noProof/>
          <w:sz w:val="24"/>
          <w:szCs w:val="24"/>
        </w:rPr>
        <w:fldChar w:fldCharType="end"/>
      </w:r>
    </w:p>
    <w:p w14:paraId="62EFEA0E" w14:textId="6D9AEFA6" w:rsidR="000F360C" w:rsidRPr="000F360C" w:rsidRDefault="000F360C" w:rsidP="000F360C">
      <w:pPr>
        <w:pStyle w:val="Abbildungsverzeichnis"/>
        <w:tabs>
          <w:tab w:val="right" w:pos="9062"/>
        </w:tabs>
        <w:spacing w:after="120"/>
        <w:ind w:left="764"/>
        <w:rPr>
          <w:rFonts w:ascii="Times New Roman" w:eastAsiaTheme="minorEastAsia" w:hAnsi="Times New Roman" w:cs="Times New Roman"/>
          <w:b w:val="0"/>
          <w:bCs w:val="0"/>
          <w:noProof/>
          <w:sz w:val="24"/>
          <w:szCs w:val="24"/>
          <w:lang w:val="en-GB" w:eastAsia="de-DE"/>
        </w:rPr>
      </w:pPr>
      <w:r w:rsidRPr="000F360C">
        <w:rPr>
          <w:rFonts w:ascii="Times New Roman" w:hAnsi="Times New Roman" w:cs="Times New Roman"/>
          <w:b w:val="0"/>
          <w:bCs w:val="0"/>
          <w:noProof/>
          <w:sz w:val="24"/>
          <w:szCs w:val="24"/>
          <w:lang w:val="en-GB"/>
        </w:rPr>
        <w:t>Figure 5: Pyramid of Corporate Social Responsibility (Carroll, 1991)</w:t>
      </w:r>
      <w:r w:rsidRPr="000F360C">
        <w:rPr>
          <w:rFonts w:ascii="Times New Roman" w:hAnsi="Times New Roman" w:cs="Times New Roman"/>
          <w:b w:val="0"/>
          <w:bCs w:val="0"/>
          <w:noProof/>
          <w:sz w:val="24"/>
          <w:szCs w:val="24"/>
          <w:lang w:val="en-GB"/>
        </w:rPr>
        <w:tab/>
      </w:r>
      <w:r w:rsidRPr="000F360C">
        <w:rPr>
          <w:rFonts w:ascii="Times New Roman" w:hAnsi="Times New Roman" w:cs="Times New Roman"/>
          <w:b w:val="0"/>
          <w:bCs w:val="0"/>
          <w:noProof/>
          <w:sz w:val="24"/>
          <w:szCs w:val="24"/>
        </w:rPr>
        <w:fldChar w:fldCharType="begin"/>
      </w:r>
      <w:r w:rsidRPr="000F360C">
        <w:rPr>
          <w:rFonts w:ascii="Times New Roman" w:hAnsi="Times New Roman" w:cs="Times New Roman"/>
          <w:b w:val="0"/>
          <w:bCs w:val="0"/>
          <w:noProof/>
          <w:sz w:val="24"/>
          <w:szCs w:val="24"/>
          <w:lang w:val="en-GB"/>
        </w:rPr>
        <w:instrText xml:space="preserve"> PAGEREF _Toc143361081 \h </w:instrText>
      </w:r>
      <w:r w:rsidRPr="000F360C">
        <w:rPr>
          <w:rFonts w:ascii="Times New Roman" w:hAnsi="Times New Roman" w:cs="Times New Roman"/>
          <w:b w:val="0"/>
          <w:bCs w:val="0"/>
          <w:noProof/>
          <w:sz w:val="24"/>
          <w:szCs w:val="24"/>
        </w:rPr>
      </w:r>
      <w:r w:rsidRPr="000F360C">
        <w:rPr>
          <w:rFonts w:ascii="Times New Roman" w:hAnsi="Times New Roman" w:cs="Times New Roman"/>
          <w:b w:val="0"/>
          <w:bCs w:val="0"/>
          <w:noProof/>
          <w:sz w:val="24"/>
          <w:szCs w:val="24"/>
        </w:rPr>
        <w:fldChar w:fldCharType="separate"/>
      </w:r>
      <w:r w:rsidRPr="000F360C">
        <w:rPr>
          <w:rFonts w:ascii="Times New Roman" w:hAnsi="Times New Roman" w:cs="Times New Roman"/>
          <w:b w:val="0"/>
          <w:bCs w:val="0"/>
          <w:noProof/>
          <w:sz w:val="24"/>
          <w:szCs w:val="24"/>
          <w:lang w:val="en-GB"/>
        </w:rPr>
        <w:t>23</w:t>
      </w:r>
      <w:r w:rsidRPr="000F360C">
        <w:rPr>
          <w:rFonts w:ascii="Times New Roman" w:hAnsi="Times New Roman" w:cs="Times New Roman"/>
          <w:b w:val="0"/>
          <w:bCs w:val="0"/>
          <w:noProof/>
          <w:sz w:val="24"/>
          <w:szCs w:val="24"/>
        </w:rPr>
        <w:fldChar w:fldCharType="end"/>
      </w:r>
    </w:p>
    <w:p w14:paraId="28F302F0" w14:textId="70492B0B" w:rsidR="000F360C" w:rsidRPr="000F360C" w:rsidRDefault="000F360C" w:rsidP="000F360C">
      <w:pPr>
        <w:pStyle w:val="Abbildungsverzeichnis"/>
        <w:tabs>
          <w:tab w:val="right" w:pos="9062"/>
        </w:tabs>
        <w:spacing w:after="120"/>
        <w:ind w:left="764"/>
        <w:rPr>
          <w:rFonts w:ascii="Times New Roman" w:eastAsiaTheme="minorEastAsia" w:hAnsi="Times New Roman" w:cs="Times New Roman"/>
          <w:b w:val="0"/>
          <w:bCs w:val="0"/>
          <w:noProof/>
          <w:sz w:val="24"/>
          <w:szCs w:val="24"/>
          <w:lang w:val="en-GB" w:eastAsia="de-DE"/>
        </w:rPr>
      </w:pPr>
      <w:r w:rsidRPr="000F360C">
        <w:rPr>
          <w:rFonts w:ascii="Times New Roman" w:hAnsi="Times New Roman" w:cs="Times New Roman"/>
          <w:b w:val="0"/>
          <w:bCs w:val="0"/>
          <w:noProof/>
          <w:sz w:val="24"/>
          <w:szCs w:val="24"/>
          <w:lang w:val="en-GB"/>
        </w:rPr>
        <w:t>Figure 6: Dimensions of Sustainable Tourism (Dredge and Jenkins, 2008)</w:t>
      </w:r>
      <w:r w:rsidRPr="000F360C">
        <w:rPr>
          <w:rFonts w:ascii="Times New Roman" w:hAnsi="Times New Roman" w:cs="Times New Roman"/>
          <w:b w:val="0"/>
          <w:bCs w:val="0"/>
          <w:noProof/>
          <w:sz w:val="24"/>
          <w:szCs w:val="24"/>
          <w:lang w:val="en-GB"/>
        </w:rPr>
        <w:tab/>
      </w:r>
      <w:r w:rsidRPr="000F360C">
        <w:rPr>
          <w:rFonts w:ascii="Times New Roman" w:hAnsi="Times New Roman" w:cs="Times New Roman"/>
          <w:b w:val="0"/>
          <w:bCs w:val="0"/>
          <w:noProof/>
          <w:sz w:val="24"/>
          <w:szCs w:val="24"/>
        </w:rPr>
        <w:fldChar w:fldCharType="begin"/>
      </w:r>
      <w:r w:rsidRPr="000F360C">
        <w:rPr>
          <w:rFonts w:ascii="Times New Roman" w:hAnsi="Times New Roman" w:cs="Times New Roman"/>
          <w:b w:val="0"/>
          <w:bCs w:val="0"/>
          <w:noProof/>
          <w:sz w:val="24"/>
          <w:szCs w:val="24"/>
          <w:lang w:val="en-GB"/>
        </w:rPr>
        <w:instrText xml:space="preserve"> PAGEREF _Toc143361082 \h </w:instrText>
      </w:r>
      <w:r w:rsidRPr="000F360C">
        <w:rPr>
          <w:rFonts w:ascii="Times New Roman" w:hAnsi="Times New Roman" w:cs="Times New Roman"/>
          <w:b w:val="0"/>
          <w:bCs w:val="0"/>
          <w:noProof/>
          <w:sz w:val="24"/>
          <w:szCs w:val="24"/>
        </w:rPr>
      </w:r>
      <w:r w:rsidRPr="000F360C">
        <w:rPr>
          <w:rFonts w:ascii="Times New Roman" w:hAnsi="Times New Roman" w:cs="Times New Roman"/>
          <w:b w:val="0"/>
          <w:bCs w:val="0"/>
          <w:noProof/>
          <w:sz w:val="24"/>
          <w:szCs w:val="24"/>
        </w:rPr>
        <w:fldChar w:fldCharType="separate"/>
      </w:r>
      <w:r w:rsidRPr="000F360C">
        <w:rPr>
          <w:rFonts w:ascii="Times New Roman" w:hAnsi="Times New Roman" w:cs="Times New Roman"/>
          <w:b w:val="0"/>
          <w:bCs w:val="0"/>
          <w:noProof/>
          <w:sz w:val="24"/>
          <w:szCs w:val="24"/>
          <w:lang w:val="en-GB"/>
        </w:rPr>
        <w:t>30</w:t>
      </w:r>
      <w:r w:rsidRPr="000F360C">
        <w:rPr>
          <w:rFonts w:ascii="Times New Roman" w:hAnsi="Times New Roman" w:cs="Times New Roman"/>
          <w:b w:val="0"/>
          <w:bCs w:val="0"/>
          <w:noProof/>
          <w:sz w:val="24"/>
          <w:szCs w:val="24"/>
        </w:rPr>
        <w:fldChar w:fldCharType="end"/>
      </w:r>
    </w:p>
    <w:p w14:paraId="0DC48197" w14:textId="4C563BF1" w:rsidR="000F360C" w:rsidRPr="000F360C" w:rsidRDefault="000F360C" w:rsidP="000F360C">
      <w:pPr>
        <w:pStyle w:val="Abbildungsverzeichnis"/>
        <w:tabs>
          <w:tab w:val="right" w:pos="9062"/>
        </w:tabs>
        <w:spacing w:after="120"/>
        <w:ind w:left="764"/>
        <w:rPr>
          <w:rFonts w:ascii="Times New Roman" w:eastAsiaTheme="minorEastAsia" w:hAnsi="Times New Roman" w:cs="Times New Roman"/>
          <w:b w:val="0"/>
          <w:bCs w:val="0"/>
          <w:noProof/>
          <w:sz w:val="24"/>
          <w:szCs w:val="24"/>
          <w:lang w:val="en-GB" w:eastAsia="de-DE"/>
        </w:rPr>
      </w:pPr>
      <w:r w:rsidRPr="000F360C">
        <w:rPr>
          <w:rFonts w:ascii="Times New Roman" w:hAnsi="Times New Roman" w:cs="Times New Roman"/>
          <w:b w:val="0"/>
          <w:bCs w:val="0"/>
          <w:noProof/>
          <w:sz w:val="24"/>
          <w:szCs w:val="24"/>
          <w:lang w:val="en-GB"/>
        </w:rPr>
        <w:t>Figure 7: A Contingent View of CSR (Bhattahcarya and Sen, 2014)</w:t>
      </w:r>
      <w:r w:rsidRPr="000F360C">
        <w:rPr>
          <w:rFonts w:ascii="Times New Roman" w:hAnsi="Times New Roman" w:cs="Times New Roman"/>
          <w:b w:val="0"/>
          <w:bCs w:val="0"/>
          <w:noProof/>
          <w:sz w:val="24"/>
          <w:szCs w:val="24"/>
          <w:lang w:val="en-GB"/>
        </w:rPr>
        <w:tab/>
      </w:r>
      <w:r w:rsidRPr="000F360C">
        <w:rPr>
          <w:rFonts w:ascii="Times New Roman" w:hAnsi="Times New Roman" w:cs="Times New Roman"/>
          <w:b w:val="0"/>
          <w:bCs w:val="0"/>
          <w:noProof/>
          <w:sz w:val="24"/>
          <w:szCs w:val="24"/>
        </w:rPr>
        <w:fldChar w:fldCharType="begin"/>
      </w:r>
      <w:r w:rsidRPr="000F360C">
        <w:rPr>
          <w:rFonts w:ascii="Times New Roman" w:hAnsi="Times New Roman" w:cs="Times New Roman"/>
          <w:b w:val="0"/>
          <w:bCs w:val="0"/>
          <w:noProof/>
          <w:sz w:val="24"/>
          <w:szCs w:val="24"/>
          <w:lang w:val="en-GB"/>
        </w:rPr>
        <w:instrText xml:space="preserve"> PAGEREF _Toc143361083 \h </w:instrText>
      </w:r>
      <w:r w:rsidRPr="000F360C">
        <w:rPr>
          <w:rFonts w:ascii="Times New Roman" w:hAnsi="Times New Roman" w:cs="Times New Roman"/>
          <w:b w:val="0"/>
          <w:bCs w:val="0"/>
          <w:noProof/>
          <w:sz w:val="24"/>
          <w:szCs w:val="24"/>
        </w:rPr>
      </w:r>
      <w:r w:rsidRPr="000F360C">
        <w:rPr>
          <w:rFonts w:ascii="Times New Roman" w:hAnsi="Times New Roman" w:cs="Times New Roman"/>
          <w:b w:val="0"/>
          <w:bCs w:val="0"/>
          <w:noProof/>
          <w:sz w:val="24"/>
          <w:szCs w:val="24"/>
        </w:rPr>
        <w:fldChar w:fldCharType="separate"/>
      </w:r>
      <w:r w:rsidRPr="000F360C">
        <w:rPr>
          <w:rFonts w:ascii="Times New Roman" w:hAnsi="Times New Roman" w:cs="Times New Roman"/>
          <w:b w:val="0"/>
          <w:bCs w:val="0"/>
          <w:noProof/>
          <w:sz w:val="24"/>
          <w:szCs w:val="24"/>
          <w:lang w:val="en-GB"/>
        </w:rPr>
        <w:t>34</w:t>
      </w:r>
      <w:r w:rsidRPr="000F360C">
        <w:rPr>
          <w:rFonts w:ascii="Times New Roman" w:hAnsi="Times New Roman" w:cs="Times New Roman"/>
          <w:b w:val="0"/>
          <w:bCs w:val="0"/>
          <w:noProof/>
          <w:sz w:val="24"/>
          <w:szCs w:val="24"/>
        </w:rPr>
        <w:fldChar w:fldCharType="end"/>
      </w:r>
    </w:p>
    <w:p w14:paraId="46AC2D83" w14:textId="73C308DC" w:rsidR="000F360C" w:rsidRPr="000F360C" w:rsidRDefault="000F360C" w:rsidP="000F360C">
      <w:pPr>
        <w:pStyle w:val="Abbildungsverzeichnis"/>
        <w:tabs>
          <w:tab w:val="right" w:pos="9062"/>
        </w:tabs>
        <w:spacing w:after="120"/>
        <w:ind w:left="764"/>
        <w:rPr>
          <w:rFonts w:ascii="Times New Roman" w:eastAsiaTheme="minorEastAsia" w:hAnsi="Times New Roman" w:cs="Times New Roman"/>
          <w:b w:val="0"/>
          <w:bCs w:val="0"/>
          <w:noProof/>
          <w:sz w:val="24"/>
          <w:szCs w:val="24"/>
          <w:lang w:val="en-GB" w:eastAsia="de-DE"/>
        </w:rPr>
      </w:pPr>
      <w:r w:rsidRPr="000F360C">
        <w:rPr>
          <w:rFonts w:ascii="Times New Roman" w:hAnsi="Times New Roman" w:cs="Times New Roman"/>
          <w:b w:val="0"/>
          <w:bCs w:val="0"/>
          <w:noProof/>
          <w:sz w:val="24"/>
          <w:szCs w:val="24"/>
          <w:lang w:val="en-GB"/>
        </w:rPr>
        <w:t>Figure 8: Different positions on design of the law (</w:t>
      </w:r>
      <w:r w:rsidRPr="000F360C">
        <w:rPr>
          <w:rFonts w:ascii="Times New Roman" w:hAnsi="Times New Roman" w:cs="Times New Roman"/>
          <w:b w:val="0"/>
          <w:bCs w:val="0"/>
          <w:noProof/>
          <w:color w:val="70AD47" w:themeColor="accent6"/>
          <w:sz w:val="24"/>
          <w:szCs w:val="24"/>
          <w:lang w:val="en-GB"/>
        </w:rPr>
        <w:t>Weihrauch, Carodenuto and Leipold, 2022</w:t>
      </w:r>
      <w:r w:rsidRPr="000F360C">
        <w:rPr>
          <w:rFonts w:ascii="Times New Roman" w:hAnsi="Times New Roman" w:cs="Times New Roman"/>
          <w:b w:val="0"/>
          <w:bCs w:val="0"/>
          <w:noProof/>
          <w:sz w:val="24"/>
          <w:szCs w:val="24"/>
          <w:lang w:val="en-GB"/>
        </w:rPr>
        <w:t>)</w:t>
      </w:r>
      <w:r w:rsidRPr="000F360C">
        <w:rPr>
          <w:rFonts w:ascii="Times New Roman" w:hAnsi="Times New Roman" w:cs="Times New Roman"/>
          <w:b w:val="0"/>
          <w:bCs w:val="0"/>
          <w:noProof/>
          <w:sz w:val="24"/>
          <w:szCs w:val="24"/>
          <w:lang w:val="en-GB"/>
        </w:rPr>
        <w:tab/>
      </w:r>
      <w:r w:rsidRPr="000F360C">
        <w:rPr>
          <w:rFonts w:ascii="Times New Roman" w:hAnsi="Times New Roman" w:cs="Times New Roman"/>
          <w:b w:val="0"/>
          <w:bCs w:val="0"/>
          <w:noProof/>
          <w:sz w:val="24"/>
          <w:szCs w:val="24"/>
        </w:rPr>
        <w:fldChar w:fldCharType="begin"/>
      </w:r>
      <w:r w:rsidRPr="000F360C">
        <w:rPr>
          <w:rFonts w:ascii="Times New Roman" w:hAnsi="Times New Roman" w:cs="Times New Roman"/>
          <w:b w:val="0"/>
          <w:bCs w:val="0"/>
          <w:noProof/>
          <w:sz w:val="24"/>
          <w:szCs w:val="24"/>
          <w:lang w:val="en-GB"/>
        </w:rPr>
        <w:instrText xml:space="preserve"> PAGEREF _Toc143361084 \h </w:instrText>
      </w:r>
      <w:r w:rsidRPr="000F360C">
        <w:rPr>
          <w:rFonts w:ascii="Times New Roman" w:hAnsi="Times New Roman" w:cs="Times New Roman"/>
          <w:b w:val="0"/>
          <w:bCs w:val="0"/>
          <w:noProof/>
          <w:sz w:val="24"/>
          <w:szCs w:val="24"/>
        </w:rPr>
      </w:r>
      <w:r w:rsidRPr="000F360C">
        <w:rPr>
          <w:rFonts w:ascii="Times New Roman" w:hAnsi="Times New Roman" w:cs="Times New Roman"/>
          <w:b w:val="0"/>
          <w:bCs w:val="0"/>
          <w:noProof/>
          <w:sz w:val="24"/>
          <w:szCs w:val="24"/>
        </w:rPr>
        <w:fldChar w:fldCharType="separate"/>
      </w:r>
      <w:r w:rsidRPr="000F360C">
        <w:rPr>
          <w:rFonts w:ascii="Times New Roman" w:hAnsi="Times New Roman" w:cs="Times New Roman"/>
          <w:b w:val="0"/>
          <w:bCs w:val="0"/>
          <w:noProof/>
          <w:sz w:val="24"/>
          <w:szCs w:val="24"/>
          <w:lang w:val="en-GB"/>
        </w:rPr>
        <w:t>45</w:t>
      </w:r>
      <w:r w:rsidRPr="000F360C">
        <w:rPr>
          <w:rFonts w:ascii="Times New Roman" w:hAnsi="Times New Roman" w:cs="Times New Roman"/>
          <w:b w:val="0"/>
          <w:bCs w:val="0"/>
          <w:noProof/>
          <w:sz w:val="24"/>
          <w:szCs w:val="24"/>
        </w:rPr>
        <w:fldChar w:fldCharType="end"/>
      </w:r>
    </w:p>
    <w:p w14:paraId="44663C22" w14:textId="565AC225" w:rsidR="00747088" w:rsidRPr="00747088" w:rsidRDefault="00747088" w:rsidP="000F360C">
      <w:pPr>
        <w:ind w:left="568"/>
        <w:rPr>
          <w:lang w:val="en-GB"/>
        </w:rPr>
      </w:pPr>
      <w:r w:rsidRPr="000F360C">
        <w:rPr>
          <w:rFonts w:cs="Times New Roman"/>
          <w:szCs w:val="24"/>
          <w:lang w:val="en-GB"/>
        </w:rPr>
        <w:fldChar w:fldCharType="end"/>
      </w:r>
    </w:p>
    <w:p w14:paraId="05C66DFC" w14:textId="77777777" w:rsidR="00123E94" w:rsidRPr="00A73DA7" w:rsidRDefault="00123E94" w:rsidP="00123E94">
      <w:pPr>
        <w:rPr>
          <w:lang w:val="en-GB"/>
        </w:rPr>
      </w:pPr>
    </w:p>
    <w:p w14:paraId="4EA07D6A" w14:textId="05AA4A1E" w:rsidR="00123E94" w:rsidRPr="00A73DA7" w:rsidRDefault="00123E94" w:rsidP="00123E94">
      <w:pPr>
        <w:rPr>
          <w:lang w:val="en-GB"/>
        </w:rPr>
        <w:sectPr w:rsidR="00123E94" w:rsidRPr="00A73DA7" w:rsidSect="004F0E2C">
          <w:pgSz w:w="11906" w:h="16838"/>
          <w:pgMar w:top="1417" w:right="1417" w:bottom="1134" w:left="1417" w:header="708" w:footer="708" w:gutter="0"/>
          <w:pgNumType w:fmt="lowerRoman" w:start="3"/>
          <w:cols w:space="708"/>
          <w:docGrid w:linePitch="360"/>
        </w:sectPr>
      </w:pPr>
    </w:p>
    <w:p w14:paraId="1D0C0CC6" w14:textId="03A5D52C" w:rsidR="00B13AED" w:rsidRDefault="001F374B" w:rsidP="001F374B">
      <w:pPr>
        <w:pStyle w:val="berschrift1"/>
        <w:contextualSpacing/>
        <w:rPr>
          <w:lang w:val="en-GB"/>
        </w:rPr>
      </w:pPr>
      <w:bookmarkStart w:id="3" w:name="_Toc143330975"/>
      <w:bookmarkStart w:id="4" w:name="_Toc143361642"/>
      <w:r>
        <w:rPr>
          <w:lang w:val="en-GB"/>
        </w:rPr>
        <w:lastRenderedPageBreak/>
        <w:t xml:space="preserve">1. </w:t>
      </w:r>
      <w:r w:rsidR="00560729" w:rsidRPr="00560729">
        <w:rPr>
          <w:lang w:val="en-GB"/>
        </w:rPr>
        <w:t>Introduction</w:t>
      </w:r>
      <w:bookmarkEnd w:id="3"/>
      <w:bookmarkEnd w:id="4"/>
    </w:p>
    <w:p w14:paraId="41A9EF12" w14:textId="49F9F0D7" w:rsidR="009275C2" w:rsidRPr="009275C2" w:rsidRDefault="00FA4FF9" w:rsidP="009275C2">
      <w:pPr>
        <w:contextualSpacing/>
        <w:rPr>
          <w:lang w:val="en-GB"/>
        </w:rPr>
      </w:pPr>
      <w:r>
        <w:rPr>
          <w:lang w:val="en-GB"/>
        </w:rPr>
        <w:t xml:space="preserve">For the last decade, the tourism industry has enjoyed a </w:t>
      </w:r>
      <w:r w:rsidR="00AA538D">
        <w:rPr>
          <w:lang w:val="en-GB"/>
        </w:rPr>
        <w:t>year-on-year</w:t>
      </w:r>
      <w:r>
        <w:rPr>
          <w:lang w:val="en-GB"/>
        </w:rPr>
        <w:t xml:space="preserve"> growth an</w:t>
      </w:r>
      <w:r w:rsidR="006E0D08">
        <w:rPr>
          <w:lang w:val="en-GB"/>
        </w:rPr>
        <w:t>d</w:t>
      </w:r>
      <w:r>
        <w:rPr>
          <w:lang w:val="en-GB"/>
        </w:rPr>
        <w:t xml:space="preserve"> even outpaced the overall world-wide economic growth rate</w:t>
      </w:r>
      <w:r w:rsidR="00507067">
        <w:rPr>
          <w:lang w:val="en-GB"/>
        </w:rPr>
        <w:t xml:space="preserve"> (UNWTO, 2021)</w:t>
      </w:r>
      <w:r>
        <w:rPr>
          <w:lang w:val="en-GB"/>
        </w:rPr>
        <w:t xml:space="preserve">. Claims for a more sustainable, more socially and environmentally compatible form of tourism have always accompanied this growth </w:t>
      </w:r>
      <w:r w:rsidR="00AA538D">
        <w:rPr>
          <w:lang w:val="en-GB"/>
        </w:rPr>
        <w:t>trajectory,</w:t>
      </w:r>
      <w:r>
        <w:rPr>
          <w:lang w:val="en-GB"/>
        </w:rPr>
        <w:t xml:space="preserve"> which is being supported by official bodies like the United Nations World</w:t>
      </w:r>
      <w:r w:rsidR="007A6C99">
        <w:rPr>
          <w:lang w:val="en-GB"/>
        </w:rPr>
        <w:t xml:space="preserve"> Tourism Organization (UNWTO) and the World Travel and Tourism Council (WTTC). Likewise, already in 201</w:t>
      </w:r>
      <w:r w:rsidR="00CF6987">
        <w:rPr>
          <w:lang w:val="en-GB"/>
        </w:rPr>
        <w:t>4</w:t>
      </w:r>
      <w:r w:rsidR="007A6C99">
        <w:rPr>
          <w:lang w:val="en-GB"/>
        </w:rPr>
        <w:t>, the UNWTO demanded the tourism actors to take on responsibility and align their business operations in accordance with the Sustainability Development Goals</w:t>
      </w:r>
      <w:r w:rsidR="00E60046">
        <w:rPr>
          <w:lang w:val="en-GB"/>
        </w:rPr>
        <w:t xml:space="preserve"> (SDGs)</w:t>
      </w:r>
      <w:r w:rsidR="008A5D7F">
        <w:rPr>
          <w:lang w:val="en-GB"/>
        </w:rPr>
        <w:t xml:space="preserve"> (</w:t>
      </w:r>
      <w:r w:rsidR="008A5D7F" w:rsidRPr="001500AB">
        <w:rPr>
          <w:rFonts w:cs="Times New Roman"/>
          <w:color w:val="00B050"/>
          <w:szCs w:val="24"/>
          <w:lang w:val="en-GB"/>
        </w:rPr>
        <w:t>Soratana et al., 2021</w:t>
      </w:r>
      <w:r w:rsidR="008A5D7F">
        <w:rPr>
          <w:rFonts w:cs="Times New Roman"/>
          <w:color w:val="00B050"/>
          <w:szCs w:val="24"/>
          <w:lang w:val="en-GB"/>
        </w:rPr>
        <w:t>)</w:t>
      </w:r>
      <w:r w:rsidR="007A6C99">
        <w:rPr>
          <w:lang w:val="en-GB"/>
        </w:rPr>
        <w:t xml:space="preserve">. Tourism is identified as a valuable driver of economic development and growth for countries but equally it can also be viewed as a potential threat of destroying local natural and cultural heritage </w:t>
      </w:r>
      <w:r w:rsidR="008A5D7F">
        <w:rPr>
          <w:lang w:val="en-GB"/>
        </w:rPr>
        <w:t>(</w:t>
      </w:r>
      <w:r w:rsidR="008A5D7F" w:rsidRPr="00821E2B">
        <w:rPr>
          <w:color w:val="70AD47" w:themeColor="accent6"/>
          <w:lang w:val="en-GB"/>
        </w:rPr>
        <w:t>Chilufya, Hughes and Scheyvens, 2019</w:t>
      </w:r>
      <w:r w:rsidR="008A5D7F">
        <w:rPr>
          <w:color w:val="70AD47" w:themeColor="accent6"/>
          <w:lang w:val="en-GB"/>
        </w:rPr>
        <w:t xml:space="preserve">) </w:t>
      </w:r>
      <w:r w:rsidR="007A6C99">
        <w:rPr>
          <w:lang w:val="en-GB"/>
        </w:rPr>
        <w:t xml:space="preserve">as it could be seen in various high-frequented tourist destinations all over the world. </w:t>
      </w:r>
      <w:r w:rsidR="0024160F">
        <w:rPr>
          <w:lang w:val="en-GB"/>
        </w:rPr>
        <w:t xml:space="preserve">The great paradox in tourism: what draws tourists to one destination is </w:t>
      </w:r>
      <w:r w:rsidR="00520881">
        <w:rPr>
          <w:lang w:val="en-GB"/>
        </w:rPr>
        <w:t xml:space="preserve">at the same time </w:t>
      </w:r>
      <w:r w:rsidR="0024160F">
        <w:rPr>
          <w:lang w:val="en-GB"/>
        </w:rPr>
        <w:t xml:space="preserve">being harmed by them. With tourism coming to a standstill during the COVID-19 period, </w:t>
      </w:r>
      <w:r w:rsidR="005A4428">
        <w:rPr>
          <w:lang w:val="en-GB"/>
        </w:rPr>
        <w:t xml:space="preserve">many </w:t>
      </w:r>
      <w:r w:rsidR="0024160F">
        <w:rPr>
          <w:lang w:val="en-GB"/>
        </w:rPr>
        <w:t xml:space="preserve">natural tourist attractions </w:t>
      </w:r>
      <w:r w:rsidR="005A4428">
        <w:rPr>
          <w:lang w:val="en-GB"/>
        </w:rPr>
        <w:t xml:space="preserve">did have the opportunity to </w:t>
      </w:r>
      <w:r w:rsidR="0024160F">
        <w:rPr>
          <w:lang w:val="en-GB"/>
        </w:rPr>
        <w:t>recover</w:t>
      </w:r>
      <w:r w:rsidR="005A4428">
        <w:rPr>
          <w:lang w:val="en-GB"/>
        </w:rPr>
        <w:t xml:space="preserve"> </w:t>
      </w:r>
      <w:r w:rsidR="0024160F">
        <w:rPr>
          <w:lang w:val="en-GB"/>
        </w:rPr>
        <w:t xml:space="preserve">while simultaneously </w:t>
      </w:r>
      <w:r w:rsidR="005A4428">
        <w:rPr>
          <w:lang w:val="en-GB"/>
        </w:rPr>
        <w:t>employees making their livelihood directly from tourism or through affiliated business</w:t>
      </w:r>
      <w:r w:rsidR="00520881">
        <w:rPr>
          <w:lang w:val="en-GB"/>
        </w:rPr>
        <w:t>es</w:t>
      </w:r>
      <w:r w:rsidR="005A4428">
        <w:rPr>
          <w:lang w:val="en-GB"/>
        </w:rPr>
        <w:t xml:space="preserve"> suffered immensely</w:t>
      </w:r>
      <w:r w:rsidR="00E60046">
        <w:rPr>
          <w:lang w:val="en-GB"/>
        </w:rPr>
        <w:t xml:space="preserve">. This clearly showed the dilemma of tourism and the potential consequence in the demand of reducing tourism flows. </w:t>
      </w:r>
      <w:r w:rsidR="00520881">
        <w:rPr>
          <w:lang w:val="en-GB"/>
        </w:rPr>
        <w:t>Despite that though y</w:t>
      </w:r>
      <w:r w:rsidR="005A4428">
        <w:rPr>
          <w:lang w:val="en-GB"/>
        </w:rPr>
        <w:t xml:space="preserve">et again, calls demanding the industry players altogether to become more responsible about the damages that are being created in the destinations became more intense. </w:t>
      </w:r>
      <w:r w:rsidR="00117AE8">
        <w:rPr>
          <w:lang w:val="en-GB"/>
        </w:rPr>
        <w:t xml:space="preserve">Not only within the tourism industry, but throughout the general society there seems to be a shift towards a greater awareness of social and environmental concerns along companies’ supply chains. </w:t>
      </w:r>
      <w:r w:rsidR="00501604">
        <w:rPr>
          <w:lang w:val="en-GB"/>
        </w:rPr>
        <w:t xml:space="preserve">As a result, companies are starting to invest more and proactively communicate on their corporate social responsibility (CSR) activities. </w:t>
      </w:r>
      <w:r w:rsidR="00501604" w:rsidRPr="009275C2">
        <w:rPr>
          <w:lang w:val="en-GB"/>
        </w:rPr>
        <w:t>According to Madanaguli, Srivastava, Ferraris and Dhir (2022)</w:t>
      </w:r>
      <w:r w:rsidR="00E60046">
        <w:rPr>
          <w:lang w:val="en-GB"/>
        </w:rPr>
        <w:t>,</w:t>
      </w:r>
      <w:r w:rsidR="00501604" w:rsidRPr="009275C2">
        <w:rPr>
          <w:lang w:val="en-GB"/>
        </w:rPr>
        <w:t xml:space="preserve"> CSR has received and increasing amount of attention in the past years, whereby it was deemed as ‘a complex, multi-faced process that is influenced by and influences multiple stakeholders. CSR overlaps with several related topics, such as social responsibility, corporate stakeholder responsibility and corporate sustainability and responsibility’ </w:t>
      </w:r>
      <w:r w:rsidR="00520881">
        <w:rPr>
          <w:lang w:val="en-GB"/>
        </w:rPr>
        <w:t>(</w:t>
      </w:r>
      <w:r w:rsidR="00501604" w:rsidRPr="009275C2">
        <w:rPr>
          <w:lang w:val="en-GB"/>
        </w:rPr>
        <w:t>Madanaguli</w:t>
      </w:r>
      <w:r w:rsidR="00821E2B">
        <w:rPr>
          <w:lang w:val="en-GB"/>
        </w:rPr>
        <w:t xml:space="preserve"> et al.</w:t>
      </w:r>
      <w:r w:rsidR="00520881">
        <w:rPr>
          <w:lang w:val="en-GB"/>
        </w:rPr>
        <w:t>,</w:t>
      </w:r>
      <w:r w:rsidR="00821E2B">
        <w:rPr>
          <w:lang w:val="en-GB"/>
        </w:rPr>
        <w:t xml:space="preserve"> </w:t>
      </w:r>
      <w:r w:rsidR="00501604" w:rsidRPr="009275C2">
        <w:rPr>
          <w:lang w:val="en-GB"/>
        </w:rPr>
        <w:t>2022</w:t>
      </w:r>
      <w:r w:rsidR="006E0D08">
        <w:rPr>
          <w:lang w:val="en-GB"/>
        </w:rPr>
        <w:t>, p.448</w:t>
      </w:r>
      <w:r w:rsidR="00501604" w:rsidRPr="009275C2">
        <w:rPr>
          <w:lang w:val="en-GB"/>
        </w:rPr>
        <w:t xml:space="preserve">). The </w:t>
      </w:r>
      <w:r w:rsidR="00520881">
        <w:rPr>
          <w:lang w:val="en-GB"/>
        </w:rPr>
        <w:t xml:space="preserve">great </w:t>
      </w:r>
      <w:r w:rsidR="00501604" w:rsidRPr="009275C2">
        <w:rPr>
          <w:lang w:val="en-GB"/>
        </w:rPr>
        <w:t>paradox in tourism</w:t>
      </w:r>
      <w:r w:rsidR="00520881">
        <w:rPr>
          <w:lang w:val="en-GB"/>
        </w:rPr>
        <w:t xml:space="preserve"> and a general product with common pool resources</w:t>
      </w:r>
      <w:r w:rsidR="00501604" w:rsidRPr="009275C2">
        <w:rPr>
          <w:lang w:val="en-GB"/>
        </w:rPr>
        <w:t xml:space="preserve"> – tourists are mostly attracted by unique natural settings be it beaches, wildlife under and above water; with over-tourism tough, exactly this asset is gradually being destroyed leading to an inevitable decrease in the attractiveness of the destination (Streimikiene, Svagzdiene, Jasinskas, Simanavicius, 2021; Butler, 1999; Lu</w:t>
      </w:r>
      <w:r w:rsidR="00821E2B">
        <w:rPr>
          <w:lang w:val="en-GB"/>
        </w:rPr>
        <w:t xml:space="preserve"> and </w:t>
      </w:r>
      <w:r w:rsidR="00501604" w:rsidRPr="009275C2">
        <w:rPr>
          <w:lang w:val="en-GB"/>
        </w:rPr>
        <w:t>Nepal, 200</w:t>
      </w:r>
      <w:r w:rsidR="00821E2B">
        <w:rPr>
          <w:lang w:val="en-GB"/>
        </w:rPr>
        <w:t>1</w:t>
      </w:r>
      <w:r w:rsidR="00501604" w:rsidRPr="009275C2">
        <w:rPr>
          <w:lang w:val="en-GB"/>
        </w:rPr>
        <w:t>9; Pjerotic, 2017; Waligo</w:t>
      </w:r>
      <w:r w:rsidR="00821E2B">
        <w:rPr>
          <w:lang w:val="en-GB"/>
        </w:rPr>
        <w:t xml:space="preserve">, Clarke and Hawkins </w:t>
      </w:r>
      <w:r w:rsidR="00501604" w:rsidRPr="009275C2">
        <w:rPr>
          <w:lang w:val="en-GB"/>
        </w:rPr>
        <w:t>2013, Johann, 2022). Despite the increasing awareness of CSR and the need for action</w:t>
      </w:r>
      <w:r w:rsidR="00E60046">
        <w:rPr>
          <w:lang w:val="en-GB"/>
        </w:rPr>
        <w:t>,</w:t>
      </w:r>
      <w:r w:rsidR="00501604" w:rsidRPr="009275C2">
        <w:rPr>
          <w:lang w:val="en-GB"/>
        </w:rPr>
        <w:t xml:space="preserve"> CSR in </w:t>
      </w:r>
      <w:r w:rsidR="00520881">
        <w:rPr>
          <w:lang w:val="en-GB"/>
        </w:rPr>
        <w:t xml:space="preserve">the </w:t>
      </w:r>
      <w:r w:rsidR="00520881">
        <w:rPr>
          <w:lang w:val="en-GB"/>
        </w:rPr>
        <w:lastRenderedPageBreak/>
        <w:t xml:space="preserve">tourism </w:t>
      </w:r>
      <w:r w:rsidR="00501604" w:rsidRPr="009275C2">
        <w:rPr>
          <w:lang w:val="en-GB"/>
        </w:rPr>
        <w:t xml:space="preserve">industry seems to be underdeveloped compared to other industries (Johann, 2022). Particularly with small and medium enterprises (SMEs) the resources to focus on CSR are often limited, especially now after COVID and the current shortage of skilled employees. But </w:t>
      </w:r>
      <w:r w:rsidR="00AA538D" w:rsidRPr="009275C2">
        <w:rPr>
          <w:lang w:val="en-GB"/>
        </w:rPr>
        <w:t>also,</w:t>
      </w:r>
      <w:r w:rsidR="00501604" w:rsidRPr="009275C2">
        <w:rPr>
          <w:lang w:val="en-GB"/>
        </w:rPr>
        <w:t xml:space="preserve"> the interdependencies and low-profit margins are influencing this non-involvement. Moreover, Johann (2022</w:t>
      </w:r>
      <w:r w:rsidR="006E0D08">
        <w:rPr>
          <w:lang w:val="en-GB"/>
        </w:rPr>
        <w:t>, p.3</w:t>
      </w:r>
      <w:r w:rsidR="00501604" w:rsidRPr="009275C2">
        <w:rPr>
          <w:lang w:val="en-GB"/>
        </w:rPr>
        <w:t xml:space="preserve">) also claims that the </w:t>
      </w:r>
      <w:r w:rsidR="00AA538D" w:rsidRPr="009275C2">
        <w:rPr>
          <w:lang w:val="en-GB"/>
        </w:rPr>
        <w:t>focus</w:t>
      </w:r>
      <w:r w:rsidR="00501604" w:rsidRPr="009275C2">
        <w:rPr>
          <w:lang w:val="en-GB"/>
        </w:rPr>
        <w:t xml:space="preserve"> in SMEs is more ‘on price and quality […] than social and environmental factors in decision-making’. Concluding and aligning the research with previous studies, CSR does not yet seem to have much of an influence in the industry </w:t>
      </w:r>
      <w:r w:rsidR="00AA538D" w:rsidRPr="009275C2">
        <w:rPr>
          <w:lang w:val="en-GB"/>
        </w:rPr>
        <w:t>which,</w:t>
      </w:r>
      <w:r w:rsidR="00501604" w:rsidRPr="009275C2">
        <w:rPr>
          <w:lang w:val="en-GB"/>
        </w:rPr>
        <w:t xml:space="preserve"> however, seems in desperate need of one, if it does not want to strip itself of </w:t>
      </w:r>
      <w:r w:rsidR="00520881">
        <w:rPr>
          <w:lang w:val="en-GB"/>
        </w:rPr>
        <w:t xml:space="preserve">its very asset </w:t>
      </w:r>
      <w:r w:rsidR="00501604" w:rsidRPr="009275C2">
        <w:rPr>
          <w:lang w:val="en-GB"/>
        </w:rPr>
        <w:t xml:space="preserve">– its natural environment and local (host) communities. </w:t>
      </w:r>
    </w:p>
    <w:p w14:paraId="0A595413" w14:textId="7D125058" w:rsidR="009275C2" w:rsidRPr="009275C2" w:rsidRDefault="00501604" w:rsidP="009275C2">
      <w:pPr>
        <w:contextualSpacing/>
        <w:rPr>
          <w:lang w:val="en-GB"/>
        </w:rPr>
      </w:pPr>
      <w:r w:rsidRPr="009275C2">
        <w:rPr>
          <w:lang w:val="en-GB"/>
        </w:rPr>
        <w:t xml:space="preserve">In Europe, first steps have been taken to walk down this line. In Germany, the German Act on Corporate Due Diligence in </w:t>
      </w:r>
      <w:r w:rsidR="006E0D08">
        <w:rPr>
          <w:lang w:val="en-GB"/>
        </w:rPr>
        <w:t>s</w:t>
      </w:r>
      <w:r w:rsidRPr="009275C2">
        <w:rPr>
          <w:lang w:val="en-GB"/>
        </w:rPr>
        <w:t xml:space="preserve">upply chains was passed in 2021, coming into effect as </w:t>
      </w:r>
      <w:r w:rsidR="006E0D08">
        <w:rPr>
          <w:lang w:val="en-GB"/>
        </w:rPr>
        <w:t xml:space="preserve">off </w:t>
      </w:r>
      <w:r w:rsidRPr="009275C2">
        <w:rPr>
          <w:lang w:val="en-GB"/>
        </w:rPr>
        <w:t xml:space="preserve">January 01, 2023. In a first step, this new law is </w:t>
      </w:r>
      <w:r w:rsidR="00AA538D" w:rsidRPr="009275C2">
        <w:rPr>
          <w:lang w:val="en-GB"/>
        </w:rPr>
        <w:t>affecting</w:t>
      </w:r>
      <w:r w:rsidRPr="009275C2">
        <w:rPr>
          <w:lang w:val="en-GB"/>
        </w:rPr>
        <w:t xml:space="preserve"> all companies with a minimum of 3.000 employees and as of January 2024, it’s applicable for all companies with a minimum of 1.000 employees with either the head office, </w:t>
      </w:r>
      <w:r w:rsidR="00AA538D" w:rsidRPr="009275C2">
        <w:rPr>
          <w:lang w:val="en-GB"/>
        </w:rPr>
        <w:t>principal</w:t>
      </w:r>
      <w:r w:rsidRPr="009275C2">
        <w:rPr>
          <w:lang w:val="en-GB"/>
        </w:rPr>
        <w:t xml:space="preserve"> place of business, administrative headquarters or </w:t>
      </w:r>
      <w:r w:rsidR="00B34762">
        <w:rPr>
          <w:lang w:val="en-GB"/>
        </w:rPr>
        <w:t xml:space="preserve">a </w:t>
      </w:r>
      <w:r w:rsidRPr="009275C2">
        <w:rPr>
          <w:lang w:val="en-GB"/>
        </w:rPr>
        <w:t>registered office in Germany. This</w:t>
      </w:r>
      <w:r w:rsidR="00B34762">
        <w:rPr>
          <w:lang w:val="en-GB"/>
        </w:rPr>
        <w:t>,</w:t>
      </w:r>
      <w:r w:rsidRPr="009275C2">
        <w:rPr>
          <w:lang w:val="en-GB"/>
        </w:rPr>
        <w:t xml:space="preserve"> in a nutshell</w:t>
      </w:r>
      <w:r w:rsidR="00B34762">
        <w:rPr>
          <w:lang w:val="en-GB"/>
        </w:rPr>
        <w:t>,</w:t>
      </w:r>
      <w:r w:rsidRPr="009275C2">
        <w:rPr>
          <w:lang w:val="en-GB"/>
        </w:rPr>
        <w:t xml:space="preserve"> makes German companies to an extend reliable for their operations in other countries (more details and greater explanation will follow in the subsequent chapters)</w:t>
      </w:r>
      <w:r w:rsidR="00B34762">
        <w:rPr>
          <w:lang w:val="en-GB"/>
        </w:rPr>
        <w:t xml:space="preserve"> and they are forced to look into their supply chains in order to adhere to these obligations set forth in the Act</w:t>
      </w:r>
      <w:r w:rsidRPr="009275C2">
        <w:rPr>
          <w:lang w:val="en-GB"/>
        </w:rPr>
        <w:t xml:space="preserve">. Transferring this to the tourism industry </w:t>
      </w:r>
      <w:r w:rsidR="00895225">
        <w:rPr>
          <w:lang w:val="en-GB"/>
        </w:rPr>
        <w:t xml:space="preserve">, specifically to the tour operating business, </w:t>
      </w:r>
      <w:r w:rsidRPr="009275C2">
        <w:rPr>
          <w:lang w:val="en-GB"/>
        </w:rPr>
        <w:t>in Germany</w:t>
      </w:r>
      <w:r w:rsidR="00895225">
        <w:rPr>
          <w:lang w:val="en-GB"/>
        </w:rPr>
        <w:t xml:space="preserve"> it</w:t>
      </w:r>
      <w:r w:rsidRPr="009275C2">
        <w:rPr>
          <w:lang w:val="en-GB"/>
        </w:rPr>
        <w:t xml:space="preserve"> means that the biggest tour operators</w:t>
      </w:r>
      <w:r w:rsidR="00895225">
        <w:rPr>
          <w:lang w:val="en-GB"/>
        </w:rPr>
        <w:t xml:space="preserve"> (TOs)</w:t>
      </w:r>
      <w:r w:rsidRPr="009275C2">
        <w:rPr>
          <w:lang w:val="en-GB"/>
        </w:rPr>
        <w:t xml:space="preserve"> in Germany will have to translate this Due Diligence Act into their </w:t>
      </w:r>
      <w:r w:rsidR="00B34762">
        <w:rPr>
          <w:lang w:val="en-GB"/>
        </w:rPr>
        <w:t xml:space="preserve">business </w:t>
      </w:r>
      <w:r w:rsidRPr="009275C2">
        <w:rPr>
          <w:lang w:val="en-GB"/>
        </w:rPr>
        <w:t xml:space="preserve">operations. Looking at the operations of the big three – TUI, </w:t>
      </w:r>
      <w:r w:rsidR="00E60046">
        <w:rPr>
          <w:lang w:val="en-GB"/>
        </w:rPr>
        <w:t>DER Touristik</w:t>
      </w:r>
      <w:r w:rsidRPr="009275C2">
        <w:rPr>
          <w:lang w:val="en-GB"/>
        </w:rPr>
        <w:t xml:space="preserve"> and FTI – they have operations world-wide and there hardly is a destination which they don’t send their clients to. The tourism industry consists of a multi-layered network</w:t>
      </w:r>
      <w:r w:rsidR="00B34762">
        <w:rPr>
          <w:lang w:val="en-GB"/>
        </w:rPr>
        <w:t xml:space="preserve"> spread across countries</w:t>
      </w:r>
      <w:r w:rsidR="009275C2" w:rsidRPr="009275C2">
        <w:rPr>
          <w:lang w:val="en-GB"/>
        </w:rPr>
        <w:t xml:space="preserve"> making a control of the entire supply-chain a challenge. </w:t>
      </w:r>
      <w:r w:rsidRPr="009275C2">
        <w:rPr>
          <w:lang w:val="en-GB"/>
        </w:rPr>
        <w:t xml:space="preserve">The Due Diligence Act is a first step of holding </w:t>
      </w:r>
      <w:r w:rsidR="00895225">
        <w:rPr>
          <w:lang w:val="en-GB"/>
        </w:rPr>
        <w:t>TOs</w:t>
      </w:r>
      <w:r w:rsidRPr="009275C2">
        <w:rPr>
          <w:lang w:val="en-GB"/>
        </w:rPr>
        <w:t xml:space="preserve"> accountable for their doings / non-doings in other countries. With demands for a more sustainable and eco-friendly tourism in the face of natural disasters and climate change this seems to be a first step to implement CSR practices into the industry</w:t>
      </w:r>
      <w:r w:rsidR="00895225">
        <w:rPr>
          <w:lang w:val="en-GB"/>
        </w:rPr>
        <w:t xml:space="preserve"> forced through legislation</w:t>
      </w:r>
      <w:r w:rsidRPr="009275C2">
        <w:rPr>
          <w:lang w:val="en-GB"/>
        </w:rPr>
        <w:t xml:space="preserve">. Though, in the tourism industry only a minor number of TOs are effect at this stage, they might take a leading role as </w:t>
      </w:r>
      <w:r w:rsidR="00895225">
        <w:rPr>
          <w:lang w:val="en-GB"/>
        </w:rPr>
        <w:t xml:space="preserve">they and their suppliers in turn have to adapt and assimilate operation process to adhere to the law. This potentially could lead to a trickle-down effect from which SME TOs could also benefit. </w:t>
      </w:r>
      <w:r w:rsidRPr="009275C2">
        <w:rPr>
          <w:lang w:val="en-GB"/>
        </w:rPr>
        <w:t>Nevertheless, looking at the SMEs TO the question arises if actions are needed now already, too. In the face of intensifying discussions about climate change, sustainability</w:t>
      </w:r>
      <w:r w:rsidR="00E60046">
        <w:rPr>
          <w:lang w:val="en-GB"/>
        </w:rPr>
        <w:t xml:space="preserve"> </w:t>
      </w:r>
      <w:r w:rsidRPr="009275C2">
        <w:rPr>
          <w:lang w:val="en-GB"/>
        </w:rPr>
        <w:t>and SDGs on the one side and the recovery of the industry after being shut down for almost three years on the other, is there a chance for SMEs TO</w:t>
      </w:r>
      <w:r w:rsidR="00DE3355">
        <w:rPr>
          <w:lang w:val="en-GB"/>
        </w:rPr>
        <w:t>s</w:t>
      </w:r>
      <w:r w:rsidRPr="009275C2">
        <w:rPr>
          <w:lang w:val="en-GB"/>
        </w:rPr>
        <w:t xml:space="preserve"> to proac</w:t>
      </w:r>
      <w:r w:rsidRPr="009275C2">
        <w:rPr>
          <w:lang w:val="en-GB"/>
        </w:rPr>
        <w:lastRenderedPageBreak/>
        <w:t xml:space="preserve">tively invest in CSR initiatives following the lead of the Due Diligence Act in order to </w:t>
      </w:r>
      <w:r w:rsidR="00B34762">
        <w:rPr>
          <w:lang w:val="en-GB"/>
        </w:rPr>
        <w:t>strengthen their market position, in preparation for a potential tightening of the Act and more crucial in an attempt to change tourism into a more sustainable form</w:t>
      </w:r>
      <w:r w:rsidRPr="009275C2">
        <w:rPr>
          <w:lang w:val="en-GB"/>
        </w:rPr>
        <w:t>?</w:t>
      </w:r>
      <w:r w:rsidR="00895225">
        <w:rPr>
          <w:lang w:val="en-GB"/>
        </w:rPr>
        <w:t xml:space="preserve"> Or is the Due Diligence Act not suitable to kick-off change in the industry?</w:t>
      </w:r>
      <w:r w:rsidRPr="009275C2">
        <w:rPr>
          <w:lang w:val="en-GB"/>
        </w:rPr>
        <w:t xml:space="preserve"> Do travellers see a need for this at all and subsequently are willing to participate by </w:t>
      </w:r>
      <w:r w:rsidR="00B34762">
        <w:rPr>
          <w:lang w:val="en-GB"/>
        </w:rPr>
        <w:t xml:space="preserve">changing travel behaviour patterns, </w:t>
      </w:r>
      <w:r w:rsidRPr="009275C2">
        <w:rPr>
          <w:lang w:val="en-GB"/>
        </w:rPr>
        <w:t xml:space="preserve">eventually paying higher rates in the face of the current inflation and unstable </w:t>
      </w:r>
      <w:r w:rsidR="00E60046" w:rsidRPr="009275C2">
        <w:rPr>
          <w:lang w:val="en-GB"/>
        </w:rPr>
        <w:t>economic</w:t>
      </w:r>
      <w:r w:rsidRPr="009275C2">
        <w:rPr>
          <w:lang w:val="en-GB"/>
        </w:rPr>
        <w:t xml:space="preserve"> situation? Or is it back to business as usual without a second thought for the long-term consequences down the timeline?</w:t>
      </w:r>
    </w:p>
    <w:p w14:paraId="3F79464A" w14:textId="1195F6B9" w:rsidR="009275C2" w:rsidRPr="00B4559C" w:rsidRDefault="009275C2" w:rsidP="00B4559C">
      <w:pPr>
        <w:contextualSpacing/>
        <w:rPr>
          <w:lang w:val="en-GB"/>
        </w:rPr>
      </w:pPr>
      <w:r w:rsidRPr="00B4559C">
        <w:rPr>
          <w:lang w:val="en-GB"/>
        </w:rPr>
        <w:t xml:space="preserve">The following pages will first investigate the overall tourism system and will show a very simplified way of how it works while also considering the interdependences which are crucial to explain for the further course of this paper. The next chapter will focus on the theoretical side of CSR and also the consumer’s view on CSR activities while also touching </w:t>
      </w:r>
      <w:r w:rsidR="003E6F34">
        <w:rPr>
          <w:lang w:val="en-GB"/>
        </w:rPr>
        <w:t xml:space="preserve">on </w:t>
      </w:r>
      <w:r w:rsidRPr="00B4559C">
        <w:rPr>
          <w:lang w:val="en-GB"/>
        </w:rPr>
        <w:t xml:space="preserve">the seemingly paradox of luxury and sustainability. The proceeding chapter will then look at the German Due Diligence Act and </w:t>
      </w:r>
      <w:r w:rsidR="00AA538D" w:rsidRPr="00B4559C">
        <w:rPr>
          <w:lang w:val="en-GB"/>
        </w:rPr>
        <w:t>its</w:t>
      </w:r>
      <w:r w:rsidRPr="00B4559C">
        <w:rPr>
          <w:lang w:val="en-GB"/>
        </w:rPr>
        <w:t xml:space="preserve"> implication for the German travel industry</w:t>
      </w:r>
      <w:r w:rsidR="00895225">
        <w:rPr>
          <w:lang w:val="en-GB"/>
        </w:rPr>
        <w:t>, specifically the TO businesses</w:t>
      </w:r>
      <w:r w:rsidRPr="00B4559C">
        <w:rPr>
          <w:lang w:val="en-GB"/>
        </w:rPr>
        <w:t xml:space="preserve">. </w:t>
      </w:r>
      <w:r w:rsidR="00B4559C" w:rsidRPr="00B4559C">
        <w:rPr>
          <w:lang w:val="en-GB"/>
        </w:rPr>
        <w:t xml:space="preserve">The final chapter will bring all three strings together to exploit if the Due Diligence Act does have the means to change the tourism industry and if it is worthwhile for SME TOs to invest into CSR already. </w:t>
      </w:r>
    </w:p>
    <w:p w14:paraId="7C6043B0" w14:textId="3737A882" w:rsidR="002F36FD" w:rsidRPr="00D44766" w:rsidRDefault="00560729" w:rsidP="00560729">
      <w:pPr>
        <w:pStyle w:val="berschrift1"/>
        <w:contextualSpacing/>
        <w:rPr>
          <w:lang w:val="en-GB"/>
        </w:rPr>
      </w:pPr>
      <w:bookmarkStart w:id="5" w:name="_Toc143330976"/>
      <w:bookmarkStart w:id="6" w:name="_Toc143361643"/>
      <w:r>
        <w:rPr>
          <w:lang w:val="en-GB"/>
        </w:rPr>
        <w:t xml:space="preserve">2. </w:t>
      </w:r>
      <w:r w:rsidR="00E74182" w:rsidRPr="00D44766">
        <w:rPr>
          <w:lang w:val="en-GB"/>
        </w:rPr>
        <w:t>The Tourism System – a general overview</w:t>
      </w:r>
      <w:bookmarkEnd w:id="5"/>
      <w:bookmarkEnd w:id="6"/>
    </w:p>
    <w:p w14:paraId="2A685CAF" w14:textId="553EB5D7" w:rsidR="00E74182" w:rsidRPr="00D44766" w:rsidRDefault="00E74182" w:rsidP="002E26E0">
      <w:pPr>
        <w:contextualSpacing/>
        <w:rPr>
          <w:lang w:val="en-GB"/>
        </w:rPr>
      </w:pPr>
      <w:r w:rsidRPr="00D44766">
        <w:rPr>
          <w:lang w:val="en-GB"/>
        </w:rPr>
        <w:t>The following paragraphs will give a brief overview of the tourism system – it will specifically review the economic impact of the industry on the global economy</w:t>
      </w:r>
      <w:r w:rsidR="00B661BD" w:rsidRPr="00D44766">
        <w:rPr>
          <w:lang w:val="en-GB"/>
        </w:rPr>
        <w:t xml:space="preserve"> and will be shedding light on the severe effects the global COVID-19 pandemic had on the industry and </w:t>
      </w:r>
      <w:r w:rsidR="00EE30E9">
        <w:rPr>
          <w:lang w:val="en-GB"/>
        </w:rPr>
        <w:t>on the recovery that took place</w:t>
      </w:r>
      <w:r w:rsidR="00B661BD" w:rsidRPr="00D44766">
        <w:rPr>
          <w:lang w:val="en-GB"/>
        </w:rPr>
        <w:t>.</w:t>
      </w:r>
      <w:r w:rsidRPr="00D44766">
        <w:rPr>
          <w:lang w:val="en-GB"/>
        </w:rPr>
        <w:t xml:space="preserve"> </w:t>
      </w:r>
      <w:r w:rsidR="00B661BD" w:rsidRPr="00D44766">
        <w:rPr>
          <w:lang w:val="en-GB"/>
        </w:rPr>
        <w:t xml:space="preserve">Furthermore, it will introduce </w:t>
      </w:r>
      <w:r w:rsidRPr="00D44766">
        <w:rPr>
          <w:lang w:val="en-GB"/>
        </w:rPr>
        <w:t>the</w:t>
      </w:r>
      <w:r w:rsidR="00B661BD" w:rsidRPr="00D44766">
        <w:rPr>
          <w:lang w:val="en-GB"/>
        </w:rPr>
        <w:t xml:space="preserve"> system that stands behind the</w:t>
      </w:r>
      <w:r w:rsidRPr="00D44766">
        <w:rPr>
          <w:lang w:val="en-GB"/>
        </w:rPr>
        <w:t xml:space="preserve"> international tourism industry</w:t>
      </w:r>
      <w:r w:rsidR="00B661BD" w:rsidRPr="00D44766">
        <w:rPr>
          <w:lang w:val="en-GB"/>
        </w:rPr>
        <w:t>, how it</w:t>
      </w:r>
      <w:r w:rsidRPr="00D44766">
        <w:rPr>
          <w:lang w:val="en-GB"/>
        </w:rPr>
        <w:t xml:space="preserve"> is build</w:t>
      </w:r>
      <w:r w:rsidR="005F54E3" w:rsidRPr="00D44766">
        <w:rPr>
          <w:lang w:val="en-GB"/>
        </w:rPr>
        <w:t xml:space="preserve">, </w:t>
      </w:r>
      <w:r w:rsidR="00B12A23" w:rsidRPr="00D44766">
        <w:rPr>
          <w:lang w:val="en-GB"/>
        </w:rPr>
        <w:t>the interconnection as well as interdependence of the individual service suppliers and the unique characteristics of the tourism product. This first chapter will the</w:t>
      </w:r>
      <w:r w:rsidR="005C3CAE" w:rsidRPr="00D44766">
        <w:rPr>
          <w:lang w:val="en-GB"/>
        </w:rPr>
        <w:t>n</w:t>
      </w:r>
      <w:r w:rsidR="00B12A23" w:rsidRPr="00D44766">
        <w:rPr>
          <w:lang w:val="en-GB"/>
        </w:rPr>
        <w:t xml:space="preserve"> proceed to take a closer look at the luxury tourism industry in the Germanic speaking markets (DACH-markets)</w:t>
      </w:r>
      <w:r w:rsidR="00B661BD" w:rsidRPr="00D44766">
        <w:rPr>
          <w:lang w:val="en-GB"/>
        </w:rPr>
        <w:t>.</w:t>
      </w:r>
      <w:r w:rsidR="00B12A23" w:rsidRPr="00D44766">
        <w:rPr>
          <w:lang w:val="en-GB"/>
        </w:rPr>
        <w:t xml:space="preserve"> </w:t>
      </w:r>
    </w:p>
    <w:p w14:paraId="0B6600A8" w14:textId="609BD99E" w:rsidR="00B12A23" w:rsidRPr="00A67409" w:rsidRDefault="00A67409" w:rsidP="00A67409">
      <w:pPr>
        <w:pStyle w:val="berschrift2"/>
        <w:rPr>
          <w:lang w:val="en-GB"/>
        </w:rPr>
      </w:pPr>
      <w:bookmarkStart w:id="7" w:name="_Toc143330977"/>
      <w:bookmarkStart w:id="8" w:name="_Toc143361644"/>
      <w:r w:rsidRPr="00A67409">
        <w:rPr>
          <w:lang w:val="en-GB"/>
        </w:rPr>
        <w:t xml:space="preserve">2.1. </w:t>
      </w:r>
      <w:r w:rsidR="00372D36" w:rsidRPr="00A67409">
        <w:rPr>
          <w:lang w:val="en-GB"/>
        </w:rPr>
        <w:t xml:space="preserve">The Tourism </w:t>
      </w:r>
      <w:r w:rsidR="005C3CAE" w:rsidRPr="00A67409">
        <w:rPr>
          <w:lang w:val="en-GB"/>
        </w:rPr>
        <w:t>Industry</w:t>
      </w:r>
      <w:r w:rsidR="00841976" w:rsidRPr="00A67409">
        <w:rPr>
          <w:lang w:val="en-GB"/>
        </w:rPr>
        <w:t xml:space="preserve"> – </w:t>
      </w:r>
      <w:r w:rsidR="007E4DB7">
        <w:rPr>
          <w:lang w:val="en-GB"/>
        </w:rPr>
        <w:t>overview</w:t>
      </w:r>
      <w:r w:rsidR="0045208E" w:rsidRPr="00A67409">
        <w:rPr>
          <w:lang w:val="en-GB"/>
        </w:rPr>
        <w:t xml:space="preserve"> of a global economy</w:t>
      </w:r>
      <w:r w:rsidR="00F41BAA" w:rsidRPr="00A67409">
        <w:rPr>
          <w:lang w:val="en-GB"/>
        </w:rPr>
        <w:t xml:space="preserve"> and COVID-19 effects</w:t>
      </w:r>
      <w:bookmarkEnd w:id="7"/>
      <w:bookmarkEnd w:id="8"/>
    </w:p>
    <w:p w14:paraId="5D718926" w14:textId="011A921B" w:rsidR="00507067" w:rsidRDefault="00841976" w:rsidP="002E26E0">
      <w:pPr>
        <w:contextualSpacing/>
        <w:rPr>
          <w:lang w:val="en-GB"/>
        </w:rPr>
      </w:pPr>
      <w:r w:rsidRPr="00D44766">
        <w:rPr>
          <w:lang w:val="en-GB"/>
        </w:rPr>
        <w:t xml:space="preserve">Tourism is recognized as a significant part </w:t>
      </w:r>
      <w:r w:rsidR="00B661BD" w:rsidRPr="00D44766">
        <w:rPr>
          <w:lang w:val="en-GB"/>
        </w:rPr>
        <w:t xml:space="preserve">of the economy </w:t>
      </w:r>
      <w:r w:rsidRPr="00D44766">
        <w:rPr>
          <w:lang w:val="en-GB"/>
        </w:rPr>
        <w:t>for many countries around the world (</w:t>
      </w:r>
      <w:r w:rsidRPr="00922715">
        <w:rPr>
          <w:color w:val="00B050"/>
          <w:lang w:val="en-GB"/>
        </w:rPr>
        <w:t>Streimikiene</w:t>
      </w:r>
      <w:r w:rsidR="00AD4C3B">
        <w:rPr>
          <w:color w:val="00B050"/>
          <w:lang w:val="en-GB"/>
        </w:rPr>
        <w:t xml:space="preserve"> et al., </w:t>
      </w:r>
      <w:r w:rsidRPr="00922715">
        <w:rPr>
          <w:color w:val="00B050"/>
          <w:lang w:val="en-GB"/>
        </w:rPr>
        <w:t>2020</w:t>
      </w:r>
      <w:r w:rsidRPr="00D44766">
        <w:rPr>
          <w:lang w:val="en-GB"/>
        </w:rPr>
        <w:t>)</w:t>
      </w:r>
      <w:r w:rsidR="00E2795D" w:rsidRPr="00D44766">
        <w:rPr>
          <w:lang w:val="en-GB"/>
        </w:rPr>
        <w:t>. According to</w:t>
      </w:r>
      <w:r w:rsidR="00FC0B29">
        <w:rPr>
          <w:lang w:val="en-GB"/>
        </w:rPr>
        <w:t xml:space="preserve"> the </w:t>
      </w:r>
      <w:r w:rsidR="00FC0B29" w:rsidRPr="00FC0B29">
        <w:rPr>
          <w:color w:val="70AD47" w:themeColor="accent6"/>
          <w:lang w:val="en-GB"/>
        </w:rPr>
        <w:t>World Travel and Tourism Council (WTTC) (2020</w:t>
      </w:r>
      <w:r w:rsidR="00FC0B29">
        <w:rPr>
          <w:lang w:val="en-GB"/>
        </w:rPr>
        <w:t>),</w:t>
      </w:r>
      <w:r w:rsidR="00E2795D" w:rsidRPr="00D44766">
        <w:rPr>
          <w:lang w:val="en-GB"/>
        </w:rPr>
        <w:t xml:space="preserve"> the</w:t>
      </w:r>
      <w:r w:rsidR="00FC0B29">
        <w:rPr>
          <w:lang w:val="en-GB"/>
        </w:rPr>
        <w:t xml:space="preserve"> travel and</w:t>
      </w:r>
      <w:r w:rsidR="00E2795D" w:rsidRPr="00D44766">
        <w:rPr>
          <w:lang w:val="en-GB"/>
        </w:rPr>
        <w:t xml:space="preserve"> tourism sector contributed 10.</w:t>
      </w:r>
      <w:r w:rsidR="00FC0B29">
        <w:rPr>
          <w:lang w:val="en-GB"/>
        </w:rPr>
        <w:t>3</w:t>
      </w:r>
      <w:r w:rsidR="00E2795D" w:rsidRPr="00D44766">
        <w:rPr>
          <w:lang w:val="en-GB"/>
        </w:rPr>
        <w:t xml:space="preserve">% </w:t>
      </w:r>
      <w:r w:rsidR="006445A3" w:rsidRPr="00D44766">
        <w:rPr>
          <w:lang w:val="en-GB"/>
        </w:rPr>
        <w:t>to</w:t>
      </w:r>
      <w:r w:rsidR="00E2795D" w:rsidRPr="00D44766">
        <w:rPr>
          <w:lang w:val="en-GB"/>
        </w:rPr>
        <w:t xml:space="preserve"> the world</w:t>
      </w:r>
      <w:r w:rsidR="005F54E3" w:rsidRPr="00D44766">
        <w:rPr>
          <w:lang w:val="en-GB"/>
        </w:rPr>
        <w:t>’s</w:t>
      </w:r>
      <w:r w:rsidR="00E2795D" w:rsidRPr="00D44766">
        <w:rPr>
          <w:lang w:val="en-GB"/>
        </w:rPr>
        <w:t xml:space="preserve"> gross domestic product</w:t>
      </w:r>
      <w:r w:rsidR="005F54E3" w:rsidRPr="00D44766">
        <w:rPr>
          <w:lang w:val="en-GB"/>
        </w:rPr>
        <w:t>,</w:t>
      </w:r>
      <w:r w:rsidR="006445A3" w:rsidRPr="00D44766">
        <w:rPr>
          <w:lang w:val="en-GB"/>
        </w:rPr>
        <w:t xml:space="preserve"> leading to 3</w:t>
      </w:r>
      <w:r w:rsidR="00FC0B29">
        <w:rPr>
          <w:lang w:val="en-GB"/>
        </w:rPr>
        <w:t>30</w:t>
      </w:r>
      <w:r w:rsidR="006445A3" w:rsidRPr="00D44766">
        <w:rPr>
          <w:lang w:val="en-GB"/>
        </w:rPr>
        <w:t xml:space="preserve"> million job</w:t>
      </w:r>
      <w:r w:rsidR="00D04A4F">
        <w:rPr>
          <w:lang w:val="en-GB"/>
        </w:rPr>
        <w:t>s</w:t>
      </w:r>
      <w:r w:rsidR="006445A3" w:rsidRPr="00D44766">
        <w:rPr>
          <w:lang w:val="en-GB"/>
        </w:rPr>
        <w:t xml:space="preserve"> which translates into 10</w:t>
      </w:r>
      <w:r w:rsidR="00FC0B29">
        <w:rPr>
          <w:lang w:val="en-GB"/>
        </w:rPr>
        <w:t>.4</w:t>
      </w:r>
      <w:r w:rsidR="006445A3" w:rsidRPr="00D44766">
        <w:rPr>
          <w:lang w:val="en-GB"/>
        </w:rPr>
        <w:t>% of total employment, in 201</w:t>
      </w:r>
      <w:r w:rsidR="00FC0B29">
        <w:rPr>
          <w:lang w:val="en-GB"/>
        </w:rPr>
        <w:t>9</w:t>
      </w:r>
      <w:r w:rsidR="006445A3" w:rsidRPr="00D44766">
        <w:rPr>
          <w:lang w:val="en-GB"/>
        </w:rPr>
        <w:t xml:space="preserve">. </w:t>
      </w:r>
      <w:r w:rsidR="00B661BD" w:rsidRPr="00D44766">
        <w:rPr>
          <w:lang w:val="en-GB"/>
        </w:rPr>
        <w:t xml:space="preserve">Looking at the international figures provided by the </w:t>
      </w:r>
      <w:r w:rsidR="00780C6A">
        <w:rPr>
          <w:lang w:val="en-GB"/>
        </w:rPr>
        <w:t xml:space="preserve">United Nations </w:t>
      </w:r>
      <w:r w:rsidR="00B661BD" w:rsidRPr="00D44766">
        <w:rPr>
          <w:lang w:val="en-GB"/>
        </w:rPr>
        <w:t>World Tourism Or</w:t>
      </w:r>
      <w:r w:rsidR="00B661BD" w:rsidRPr="00D44766">
        <w:rPr>
          <w:lang w:val="en-GB"/>
        </w:rPr>
        <w:lastRenderedPageBreak/>
        <w:t>ganization (</w:t>
      </w:r>
      <w:r w:rsidR="00780C6A" w:rsidRPr="008B16D4">
        <w:rPr>
          <w:color w:val="70AD47" w:themeColor="accent6"/>
          <w:lang w:val="en-GB"/>
        </w:rPr>
        <w:t>UNTWO</w:t>
      </w:r>
      <w:r w:rsidR="00922715" w:rsidRPr="008B16D4">
        <w:rPr>
          <w:color w:val="70AD47" w:themeColor="accent6"/>
          <w:lang w:val="en-GB"/>
        </w:rPr>
        <w:t xml:space="preserve">, </w:t>
      </w:r>
      <w:r w:rsidR="00B661BD" w:rsidRPr="008B16D4">
        <w:rPr>
          <w:color w:val="70AD47" w:themeColor="accent6"/>
          <w:lang w:val="en-GB"/>
        </w:rPr>
        <w:t>2021</w:t>
      </w:r>
      <w:r w:rsidR="008B16D4" w:rsidRPr="008B16D4">
        <w:rPr>
          <w:color w:val="70AD47" w:themeColor="accent6"/>
          <w:lang w:val="en-GB"/>
        </w:rPr>
        <w:t>a</w:t>
      </w:r>
      <w:r w:rsidR="00B661BD" w:rsidRPr="00D44766">
        <w:rPr>
          <w:lang w:val="en-GB"/>
        </w:rPr>
        <w:t>), the industry has seen a</w:t>
      </w:r>
      <w:r w:rsidR="00FC0B29">
        <w:rPr>
          <w:lang w:val="en-GB"/>
        </w:rPr>
        <w:t xml:space="preserve"> continues</w:t>
      </w:r>
      <w:r w:rsidR="00B661BD" w:rsidRPr="00D44766">
        <w:rPr>
          <w:lang w:val="en-GB"/>
        </w:rPr>
        <w:t xml:space="preserve"> growth</w:t>
      </w:r>
      <w:r w:rsidR="00FC0B29">
        <w:rPr>
          <w:lang w:val="en-GB"/>
        </w:rPr>
        <w:t xml:space="preserve">, with </w:t>
      </w:r>
      <w:r w:rsidR="00EE30E9">
        <w:rPr>
          <w:lang w:val="en-GB"/>
        </w:rPr>
        <w:t xml:space="preserve">only a </w:t>
      </w:r>
      <w:r w:rsidR="00FC0B29">
        <w:rPr>
          <w:lang w:val="en-GB"/>
        </w:rPr>
        <w:t xml:space="preserve">few dips </w:t>
      </w:r>
      <w:r w:rsidR="00000000">
        <w:rPr>
          <w:noProof/>
          <w:lang w:val="en-GB"/>
        </w:rPr>
        <w:pict w14:anchorId="646AEF25">
          <v:shapetype id="_x0000_t202" coordsize="21600,21600" o:spt="202" path="m,l,21600r21600,l21600,xe">
            <v:stroke joinstyle="miter"/>
            <v:path gradientshapeok="t" o:connecttype="rect"/>
          </v:shapetype>
          <v:shape id="_x0000_s2066" type="#_x0000_t202" style="position:absolute;left:0;text-align:left;margin-left:2.25pt;margin-top:321.7pt;width:453.6pt;height:20.35pt;z-index:251679232;mso-position-horizontal-relative:text;mso-position-vertical-relative:text" stroked="f">
            <v:textbox style="mso-next-textbox:#_x0000_s2066;mso-fit-shape-to-text:t" inset="0,0,0,0">
              <w:txbxContent>
                <w:p w14:paraId="485A8C63" w14:textId="2F4FE0B3" w:rsidR="00507067" w:rsidRPr="00A73DA7" w:rsidRDefault="00507067" w:rsidP="00507067">
                  <w:pPr>
                    <w:pStyle w:val="Beschriftung"/>
                    <w:jc w:val="center"/>
                    <w:rPr>
                      <w:rFonts w:ascii="Arial" w:hAnsi="Arial" w:cs="Arial"/>
                      <w:noProof/>
                      <w:color w:val="81878C"/>
                      <w:sz w:val="20"/>
                      <w:szCs w:val="20"/>
                      <w:shd w:val="clear" w:color="auto" w:fill="F2F3F6"/>
                      <w:lang w:val="en-GB"/>
                    </w:rPr>
                  </w:pPr>
                  <w:bookmarkStart w:id="9" w:name="_Toc143360940"/>
                  <w:bookmarkStart w:id="10" w:name="_Toc143361077"/>
                  <w:r w:rsidRPr="00A73DA7">
                    <w:rPr>
                      <w:lang w:val="en-GB"/>
                    </w:rPr>
                    <w:t xml:space="preserve">Figure </w:t>
                  </w:r>
                  <w:r>
                    <w:fldChar w:fldCharType="begin"/>
                  </w:r>
                  <w:r w:rsidRPr="00A73DA7">
                    <w:rPr>
                      <w:lang w:val="en-GB"/>
                    </w:rPr>
                    <w:instrText xml:space="preserve"> SEQ Figure \* ARABIC </w:instrText>
                  </w:r>
                  <w:r>
                    <w:fldChar w:fldCharType="separate"/>
                  </w:r>
                  <w:r w:rsidR="00E81CC9">
                    <w:rPr>
                      <w:noProof/>
                      <w:lang w:val="en-GB"/>
                    </w:rPr>
                    <w:t>1</w:t>
                  </w:r>
                  <w:r>
                    <w:fldChar w:fldCharType="end"/>
                  </w:r>
                  <w:r w:rsidRPr="00747088">
                    <w:rPr>
                      <w:lang w:val="en-GB"/>
                    </w:rPr>
                    <w:t xml:space="preserve">: </w:t>
                  </w:r>
                  <w:r w:rsidRPr="00A73DA7">
                    <w:rPr>
                      <w:lang w:val="en-GB"/>
                    </w:rPr>
                    <w:t>International tourism, number of arrivals (</w:t>
                  </w:r>
                  <w:r>
                    <w:rPr>
                      <w:lang w:val="en-GB"/>
                    </w:rPr>
                    <w:t>UNWTO</w:t>
                  </w:r>
                  <w:r w:rsidRPr="00A73DA7">
                    <w:rPr>
                      <w:lang w:val="en-GB"/>
                    </w:rPr>
                    <w:t>, 2021)</w:t>
                  </w:r>
                  <w:bookmarkEnd w:id="9"/>
                  <w:bookmarkEnd w:id="10"/>
                </w:p>
              </w:txbxContent>
            </v:textbox>
            <w10:wrap type="square"/>
          </v:shape>
        </w:pict>
      </w:r>
      <w:r w:rsidR="00FC0B29">
        <w:rPr>
          <w:lang w:val="en-GB"/>
        </w:rPr>
        <w:t xml:space="preserve">in the </w:t>
      </w:r>
      <w:r w:rsidR="008A5D7F" w:rsidRPr="00AD7C33">
        <w:rPr>
          <w:rFonts w:ascii="Arial" w:hAnsi="Arial" w:cs="Arial"/>
          <w:noProof/>
          <w:color w:val="81878C"/>
          <w:sz w:val="20"/>
          <w:szCs w:val="20"/>
          <w:shd w:val="clear" w:color="auto" w:fill="F2F3F6"/>
          <w:lang w:val="en-GB"/>
        </w:rPr>
        <w:drawing>
          <wp:anchor distT="0" distB="0" distL="114300" distR="114300" simplePos="0" relativeHeight="251658752" behindDoc="0" locked="0" layoutInCell="1" allowOverlap="1" wp14:anchorId="7BE42C71" wp14:editId="3951FD18">
            <wp:simplePos x="0" y="0"/>
            <wp:positionH relativeFrom="margin">
              <wp:posOffset>0</wp:posOffset>
            </wp:positionH>
            <wp:positionV relativeFrom="margin">
              <wp:posOffset>816610</wp:posOffset>
            </wp:positionV>
            <wp:extent cx="5760720" cy="3308985"/>
            <wp:effectExtent l="0" t="0" r="0" b="0"/>
            <wp:wrapSquare wrapText="bothSides"/>
            <wp:docPr id="242694702" name="Grafik 1" descr="Ein Bild, das Reihe, Diagramm, Text, Steig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694702" name="Grafik 1" descr="Ein Bild, das Reihe, Diagramm, Text, Steigung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760720" cy="3308985"/>
                    </a:xfrm>
                    <a:prstGeom prst="rect">
                      <a:avLst/>
                    </a:prstGeom>
                  </pic:spPr>
                </pic:pic>
              </a:graphicData>
            </a:graphic>
          </wp:anchor>
        </w:drawing>
      </w:r>
      <w:r w:rsidR="00FC0B29">
        <w:rPr>
          <w:lang w:val="en-GB"/>
        </w:rPr>
        <w:t xml:space="preserve">early 2000s and 2009. </w:t>
      </w:r>
    </w:p>
    <w:p w14:paraId="4DDBFAE4" w14:textId="0BCDF56F" w:rsidR="00AD7C33" w:rsidRDefault="00FC0B29" w:rsidP="002E26E0">
      <w:pPr>
        <w:contextualSpacing/>
        <w:rPr>
          <w:lang w:val="en-GB"/>
        </w:rPr>
      </w:pPr>
      <w:r>
        <w:rPr>
          <w:lang w:val="en-GB"/>
        </w:rPr>
        <w:t>But as the figure shows, the industry managed to bounce back resulting into a continuous growth since the last drop in 2009. The figures represented in the below are not yet including the drastic drop due to COVID.</w:t>
      </w:r>
      <w:r w:rsidR="00AA2ABB">
        <w:rPr>
          <w:lang w:val="en-GB"/>
        </w:rPr>
        <w:t xml:space="preserve"> I</w:t>
      </w:r>
      <w:r>
        <w:rPr>
          <w:lang w:val="en-GB"/>
        </w:rPr>
        <w:t xml:space="preserve">n the following the figures presented will take reference to developments </w:t>
      </w:r>
      <w:r w:rsidR="00AA2ABB">
        <w:rPr>
          <w:lang w:val="en-GB"/>
        </w:rPr>
        <w:t xml:space="preserve">before the industry came to a standstill due </w:t>
      </w:r>
      <w:r>
        <w:rPr>
          <w:lang w:val="en-GB"/>
        </w:rPr>
        <w:t>to the pandemic</w:t>
      </w:r>
      <w:r w:rsidR="00AA2ABB">
        <w:rPr>
          <w:lang w:val="en-GB"/>
        </w:rPr>
        <w:t>.</w:t>
      </w:r>
    </w:p>
    <w:p w14:paraId="7F527A8E" w14:textId="47FD8DFD" w:rsidR="00E172DB" w:rsidRDefault="00677C44" w:rsidP="002E26E0">
      <w:pPr>
        <w:contextualSpacing/>
        <w:rPr>
          <w:lang w:val="en-GB"/>
        </w:rPr>
      </w:pPr>
      <w:r w:rsidRPr="00E172DB">
        <w:rPr>
          <w:noProof/>
          <w:lang w:val="en-GB"/>
        </w:rPr>
        <w:drawing>
          <wp:anchor distT="0" distB="0" distL="114300" distR="114300" simplePos="0" relativeHeight="251663360" behindDoc="0" locked="0" layoutInCell="1" allowOverlap="1" wp14:anchorId="2D3595BE" wp14:editId="0B8C418F">
            <wp:simplePos x="0" y="0"/>
            <wp:positionH relativeFrom="margin">
              <wp:posOffset>-4445</wp:posOffset>
            </wp:positionH>
            <wp:positionV relativeFrom="margin">
              <wp:posOffset>6796405</wp:posOffset>
            </wp:positionV>
            <wp:extent cx="5760720" cy="1533525"/>
            <wp:effectExtent l="0" t="0" r="0" b="0"/>
            <wp:wrapSquare wrapText="bothSides"/>
            <wp:docPr id="569681303" name="Grafik 1" descr="Ein Bild, das Reihe, Diagramm,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681303" name="Grafik 1" descr="Ein Bild, das Reihe, Diagramm, Screenshot, Schrift enthält.&#10;&#10;Automatisch generierte Beschreibung"/>
                    <pic:cNvPicPr/>
                  </pic:nvPicPr>
                  <pic:blipFill>
                    <a:blip r:embed="rId13">
                      <a:extLst>
                        <a:ext uri="{28A0092B-C50C-407E-A947-70E740481C1C}">
                          <a14:useLocalDpi xmlns:a14="http://schemas.microsoft.com/office/drawing/2010/main" val="0"/>
                        </a:ext>
                      </a:extLst>
                    </a:blip>
                    <a:stretch>
                      <a:fillRect/>
                    </a:stretch>
                  </pic:blipFill>
                  <pic:spPr>
                    <a:xfrm>
                      <a:off x="0" y="0"/>
                      <a:ext cx="5760720" cy="1533525"/>
                    </a:xfrm>
                    <a:prstGeom prst="rect">
                      <a:avLst/>
                    </a:prstGeom>
                  </pic:spPr>
                </pic:pic>
              </a:graphicData>
            </a:graphic>
            <wp14:sizeRelV relativeFrom="margin">
              <wp14:pctHeight>0</wp14:pctHeight>
            </wp14:sizeRelV>
          </wp:anchor>
        </w:drawing>
      </w:r>
      <w:r w:rsidR="00AD7C33">
        <w:rPr>
          <w:lang w:val="en-GB"/>
        </w:rPr>
        <w:t>I</w:t>
      </w:r>
      <w:r w:rsidR="00B661BD" w:rsidRPr="00D44766">
        <w:rPr>
          <w:lang w:val="en-GB"/>
        </w:rPr>
        <w:t>n 2019, 4% more arrivals and 3% more in tourism receipt were recorded</w:t>
      </w:r>
      <w:r w:rsidR="00EE30E9">
        <w:rPr>
          <w:lang w:val="en-GB"/>
        </w:rPr>
        <w:t xml:space="preserve"> </w:t>
      </w:r>
      <w:r w:rsidR="00B661BD" w:rsidRPr="00D44766">
        <w:rPr>
          <w:lang w:val="en-GB"/>
        </w:rPr>
        <w:t>translating into 1</w:t>
      </w:r>
      <w:r w:rsidR="005F54E3" w:rsidRPr="00D44766">
        <w:rPr>
          <w:lang w:val="en-GB"/>
        </w:rPr>
        <w:t>.</w:t>
      </w:r>
      <w:r w:rsidR="00B661BD" w:rsidRPr="00D44766">
        <w:rPr>
          <w:lang w:val="en-GB"/>
        </w:rPr>
        <w:t>460 million international tourist arrival</w:t>
      </w:r>
      <w:r w:rsidR="00D04A4F">
        <w:rPr>
          <w:lang w:val="en-GB"/>
        </w:rPr>
        <w:t>s</w:t>
      </w:r>
      <w:r w:rsidR="00B661BD" w:rsidRPr="00D44766">
        <w:rPr>
          <w:lang w:val="en-GB"/>
        </w:rPr>
        <w:t xml:space="preserve"> and USD 1.481 billion in tourism receipts. More</w:t>
      </w:r>
      <w:r w:rsidR="00EE30E9">
        <w:rPr>
          <w:lang w:val="en-GB"/>
        </w:rPr>
        <w:t>-</w:t>
      </w:r>
      <w:r w:rsidR="00B661BD" w:rsidRPr="00D44766">
        <w:rPr>
          <w:lang w:val="en-GB"/>
        </w:rPr>
        <w:t xml:space="preserve">over, according to </w:t>
      </w:r>
      <w:r w:rsidR="00EE30E9">
        <w:rPr>
          <w:lang w:val="en-GB"/>
        </w:rPr>
        <w:t>the WTTC</w:t>
      </w:r>
      <w:r w:rsidR="00B661BD" w:rsidRPr="00D44766">
        <w:rPr>
          <w:lang w:val="en-GB"/>
        </w:rPr>
        <w:t xml:space="preserve"> (</w:t>
      </w:r>
      <w:r w:rsidR="00D3217C" w:rsidRPr="00D3217C">
        <w:rPr>
          <w:color w:val="00B050"/>
          <w:lang w:val="en-GB"/>
        </w:rPr>
        <w:t xml:space="preserve">WTTC, </w:t>
      </w:r>
      <w:r w:rsidR="00B661BD" w:rsidRPr="00D3217C">
        <w:rPr>
          <w:color w:val="00B050"/>
          <w:lang w:val="en-GB"/>
        </w:rPr>
        <w:t>2020</w:t>
      </w:r>
      <w:r w:rsidR="00B661BD" w:rsidRPr="00D44766">
        <w:rPr>
          <w:lang w:val="en-GB"/>
        </w:rPr>
        <w:t xml:space="preserve">) the tourism sector outpaced the growth of the global economy slightly by </w:t>
      </w:r>
      <w:r w:rsidR="00E172DB">
        <w:rPr>
          <w:lang w:val="en-GB"/>
        </w:rPr>
        <w:t>1</w:t>
      </w:r>
      <w:r w:rsidR="00B661BD" w:rsidRPr="00D44766">
        <w:rPr>
          <w:lang w:val="en-GB"/>
        </w:rPr>
        <w:t xml:space="preserve">% </w:t>
      </w:r>
      <w:r w:rsidR="00E172DB">
        <w:rPr>
          <w:lang w:val="en-GB"/>
        </w:rPr>
        <w:t>in 2019, which represents a constant trend over the last year as below graph shows.</w:t>
      </w:r>
    </w:p>
    <w:p w14:paraId="4F7A5AD2" w14:textId="2E876FE6" w:rsidR="00E172DB" w:rsidRDefault="00E172DB" w:rsidP="00121B67">
      <w:pPr>
        <w:pStyle w:val="Beschriftung"/>
        <w:jc w:val="center"/>
        <w:rPr>
          <w:lang w:val="en-GB"/>
        </w:rPr>
      </w:pPr>
      <w:bookmarkStart w:id="11" w:name="_Toc143360809"/>
      <w:bookmarkStart w:id="12" w:name="_Toc143360941"/>
      <w:bookmarkStart w:id="13" w:name="_Toc143361078"/>
      <w:r w:rsidRPr="00E172DB">
        <w:rPr>
          <w:lang w:val="en-GB"/>
        </w:rPr>
        <w:t xml:space="preserve">Figure </w:t>
      </w:r>
      <w:r>
        <w:fldChar w:fldCharType="begin"/>
      </w:r>
      <w:r w:rsidRPr="00E172DB">
        <w:rPr>
          <w:lang w:val="en-GB"/>
        </w:rPr>
        <w:instrText xml:space="preserve"> SEQ Figure \* ARABIC </w:instrText>
      </w:r>
      <w:r>
        <w:fldChar w:fldCharType="separate"/>
      </w:r>
      <w:r w:rsidR="00E81CC9">
        <w:rPr>
          <w:noProof/>
          <w:lang w:val="en-GB"/>
        </w:rPr>
        <w:t>2</w:t>
      </w:r>
      <w:r>
        <w:fldChar w:fldCharType="end"/>
      </w:r>
      <w:r w:rsidRPr="00E172DB">
        <w:rPr>
          <w:lang w:val="en-GB"/>
        </w:rPr>
        <w:t>: W</w:t>
      </w:r>
      <w:r w:rsidR="00FA59F1">
        <w:rPr>
          <w:lang w:val="en-GB"/>
        </w:rPr>
        <w:t xml:space="preserve">orld’s Travel &amp; Tourism GDP growth vs economy GDP growth, 2011-19 </w:t>
      </w:r>
      <w:r w:rsidRPr="00E172DB">
        <w:rPr>
          <w:lang w:val="en-GB"/>
        </w:rPr>
        <w:t>(WTTC, 20</w:t>
      </w:r>
      <w:r>
        <w:rPr>
          <w:lang w:val="en-GB"/>
        </w:rPr>
        <w:t>20</w:t>
      </w:r>
      <w:r w:rsidRPr="00E172DB">
        <w:rPr>
          <w:lang w:val="en-GB"/>
        </w:rPr>
        <w:t>)</w:t>
      </w:r>
      <w:bookmarkEnd w:id="11"/>
      <w:bookmarkEnd w:id="12"/>
      <w:bookmarkEnd w:id="13"/>
    </w:p>
    <w:p w14:paraId="6F49AB4D" w14:textId="69108352" w:rsidR="00372D36" w:rsidRPr="00D44766" w:rsidRDefault="00EC6B78" w:rsidP="002E26E0">
      <w:pPr>
        <w:contextualSpacing/>
        <w:rPr>
          <w:lang w:val="en-GB"/>
        </w:rPr>
      </w:pPr>
      <w:r w:rsidRPr="00D44766">
        <w:rPr>
          <w:lang w:val="en-GB"/>
        </w:rPr>
        <w:t>It is reported that over the last five years</w:t>
      </w:r>
      <w:r w:rsidR="00FC0B29">
        <w:rPr>
          <w:lang w:val="en-GB"/>
        </w:rPr>
        <w:t xml:space="preserve"> leading up to 2020</w:t>
      </w:r>
      <w:r w:rsidRPr="00D44766">
        <w:rPr>
          <w:lang w:val="en-GB"/>
        </w:rPr>
        <w:t>, one out f</w:t>
      </w:r>
      <w:r w:rsidR="00FC0B29">
        <w:rPr>
          <w:lang w:val="en-GB"/>
        </w:rPr>
        <w:t>our</w:t>
      </w:r>
      <w:r w:rsidRPr="00D44766">
        <w:rPr>
          <w:lang w:val="en-GB"/>
        </w:rPr>
        <w:t xml:space="preserve"> newly created jobs </w:t>
      </w:r>
      <w:r w:rsidR="00D44766" w:rsidRPr="00D44766">
        <w:rPr>
          <w:lang w:val="en-GB"/>
        </w:rPr>
        <w:t>were</w:t>
      </w:r>
      <w:r w:rsidRPr="00D44766">
        <w:rPr>
          <w:lang w:val="en-GB"/>
        </w:rPr>
        <w:t xml:space="preserve"> related to travel and tourism (</w:t>
      </w:r>
      <w:r w:rsidR="00FC0B29">
        <w:rPr>
          <w:color w:val="00B050"/>
          <w:lang w:val="en-GB"/>
        </w:rPr>
        <w:t>WTTC, 2020</w:t>
      </w:r>
      <w:r w:rsidRPr="00D44766">
        <w:rPr>
          <w:lang w:val="en-GB"/>
        </w:rPr>
        <w:t xml:space="preserve">) – hence, the industry can be regarded as a major force in creating new employment opportunities for governments. The industry still </w:t>
      </w:r>
      <w:r w:rsidRPr="00D44766">
        <w:rPr>
          <w:lang w:val="en-GB"/>
        </w:rPr>
        <w:lastRenderedPageBreak/>
        <w:t>is a very dynamic</w:t>
      </w:r>
      <w:r w:rsidR="00543566" w:rsidRPr="00D44766">
        <w:rPr>
          <w:lang w:val="en-GB"/>
        </w:rPr>
        <w:t xml:space="preserve"> and vital industry and for many countries it poses </w:t>
      </w:r>
      <w:r w:rsidR="00B661BD" w:rsidRPr="00D44766">
        <w:rPr>
          <w:lang w:val="en-GB"/>
        </w:rPr>
        <w:t>a</w:t>
      </w:r>
      <w:r w:rsidR="00543566" w:rsidRPr="00D44766">
        <w:rPr>
          <w:lang w:val="en-GB"/>
        </w:rPr>
        <w:t xml:space="preserve"> major source of income – particularly for many countries in the developing phase (</w:t>
      </w:r>
      <w:r w:rsidR="00913B91" w:rsidRPr="00701D22">
        <w:rPr>
          <w:color w:val="00B050"/>
          <w:lang w:val="en-GB"/>
        </w:rPr>
        <w:t>Kataya, 2021;</w:t>
      </w:r>
      <w:r w:rsidR="0045208E" w:rsidRPr="00D44766">
        <w:rPr>
          <w:lang w:val="en-GB"/>
        </w:rPr>
        <w:t xml:space="preserve"> </w:t>
      </w:r>
      <w:r w:rsidR="00543566" w:rsidRPr="00701D22">
        <w:rPr>
          <w:color w:val="00B050"/>
          <w:lang w:val="en-GB"/>
        </w:rPr>
        <w:t>G</w:t>
      </w:r>
      <w:r w:rsidR="00701D22" w:rsidRPr="00701D22">
        <w:rPr>
          <w:color w:val="00B050"/>
          <w:lang w:val="en-GB"/>
        </w:rPr>
        <w:t>ö</w:t>
      </w:r>
      <w:r w:rsidR="00543566" w:rsidRPr="00701D22">
        <w:rPr>
          <w:color w:val="00B050"/>
          <w:lang w:val="en-GB"/>
        </w:rPr>
        <w:t>ssling</w:t>
      </w:r>
      <w:r w:rsidR="00733803">
        <w:rPr>
          <w:color w:val="00B050"/>
          <w:lang w:val="en-GB"/>
        </w:rPr>
        <w:t xml:space="preserve"> et al.</w:t>
      </w:r>
      <w:r w:rsidR="00543566" w:rsidRPr="00701D22">
        <w:rPr>
          <w:color w:val="00B050"/>
          <w:lang w:val="en-GB"/>
        </w:rPr>
        <w:t>,</w:t>
      </w:r>
      <w:r w:rsidR="00733803">
        <w:rPr>
          <w:color w:val="00B050"/>
          <w:lang w:val="en-GB"/>
        </w:rPr>
        <w:t xml:space="preserve"> </w:t>
      </w:r>
      <w:r w:rsidR="00543566" w:rsidRPr="00701D22">
        <w:rPr>
          <w:color w:val="00B050"/>
          <w:lang w:val="en-GB"/>
        </w:rPr>
        <w:t>2012</w:t>
      </w:r>
      <w:r w:rsidR="00543566" w:rsidRPr="00D44766">
        <w:rPr>
          <w:lang w:val="en-GB"/>
        </w:rPr>
        <w:t xml:space="preserve">; </w:t>
      </w:r>
      <w:r w:rsidR="00543566" w:rsidRPr="00701D22">
        <w:rPr>
          <w:color w:val="00B050"/>
          <w:lang w:val="en-GB"/>
        </w:rPr>
        <w:t xml:space="preserve">Gumede </w:t>
      </w:r>
      <w:r w:rsidR="00701D22" w:rsidRPr="00701D22">
        <w:rPr>
          <w:color w:val="00B050"/>
          <w:lang w:val="en-GB"/>
        </w:rPr>
        <w:t xml:space="preserve">and </w:t>
      </w:r>
      <w:r w:rsidR="00543566" w:rsidRPr="00701D22">
        <w:rPr>
          <w:color w:val="00B050"/>
          <w:lang w:val="en-GB"/>
        </w:rPr>
        <w:t>Nzama, 20</w:t>
      </w:r>
      <w:r w:rsidR="00701D22" w:rsidRPr="00701D22">
        <w:rPr>
          <w:color w:val="00B050"/>
          <w:lang w:val="en-GB"/>
        </w:rPr>
        <w:t>20</w:t>
      </w:r>
      <w:r w:rsidR="00543566" w:rsidRPr="00D44766">
        <w:rPr>
          <w:lang w:val="en-GB"/>
        </w:rPr>
        <w:t xml:space="preserve">; </w:t>
      </w:r>
      <w:r w:rsidR="00543566" w:rsidRPr="000A7201">
        <w:rPr>
          <w:color w:val="00B050"/>
          <w:lang w:val="en-GB"/>
        </w:rPr>
        <w:t>Manrai</w:t>
      </w:r>
      <w:r w:rsidR="000A7201" w:rsidRPr="000A7201">
        <w:rPr>
          <w:color w:val="00B050"/>
          <w:lang w:val="en-GB"/>
        </w:rPr>
        <w:t>, Lascu and Manrai</w:t>
      </w:r>
      <w:r w:rsidR="00543566" w:rsidRPr="000A7201">
        <w:rPr>
          <w:color w:val="00B050"/>
          <w:lang w:val="en-GB"/>
        </w:rPr>
        <w:t>, 2020</w:t>
      </w:r>
      <w:r w:rsidR="00543566" w:rsidRPr="00D44766">
        <w:rPr>
          <w:lang w:val="en-GB"/>
        </w:rPr>
        <w:t>)</w:t>
      </w:r>
      <w:r w:rsidR="009657BD" w:rsidRPr="00D44766">
        <w:rPr>
          <w:lang w:val="en-GB"/>
        </w:rPr>
        <w:t xml:space="preserve">. </w:t>
      </w:r>
    </w:p>
    <w:p w14:paraId="715975D8" w14:textId="6013D1A5" w:rsidR="00F41BAA" w:rsidRPr="00D44766" w:rsidRDefault="00F41BAA" w:rsidP="002E26E0">
      <w:pPr>
        <w:contextualSpacing/>
        <w:rPr>
          <w:lang w:val="en-GB"/>
        </w:rPr>
      </w:pPr>
      <w:r w:rsidRPr="00D44766">
        <w:rPr>
          <w:lang w:val="en-GB"/>
        </w:rPr>
        <w:t>Towards the end of 2019, beginning of 2020, the indust</w:t>
      </w:r>
      <w:r w:rsidR="00EE30E9">
        <w:rPr>
          <w:lang w:val="en-GB"/>
        </w:rPr>
        <w:t xml:space="preserve">ry was influenced like it </w:t>
      </w:r>
      <w:r w:rsidRPr="00D44766">
        <w:rPr>
          <w:lang w:val="en-GB"/>
        </w:rPr>
        <w:t xml:space="preserve">never was before. With </w:t>
      </w:r>
      <w:r w:rsidR="00B661BD" w:rsidRPr="00D44766">
        <w:rPr>
          <w:lang w:val="en-GB"/>
        </w:rPr>
        <w:t xml:space="preserve">the </w:t>
      </w:r>
      <w:r w:rsidRPr="00D44766">
        <w:rPr>
          <w:lang w:val="en-GB"/>
        </w:rPr>
        <w:t>COVID-19</w:t>
      </w:r>
      <w:r w:rsidR="00B661BD" w:rsidRPr="00D44766">
        <w:rPr>
          <w:lang w:val="en-GB"/>
        </w:rPr>
        <w:t xml:space="preserve"> virus</w:t>
      </w:r>
      <w:r w:rsidRPr="00D44766">
        <w:rPr>
          <w:lang w:val="en-GB"/>
        </w:rPr>
        <w:t xml:space="preserve"> rapidly spreading around the globe, international tourism came to a standstill. Countless countries worldwide closed their borders and international tourism was</w:t>
      </w:r>
      <w:r w:rsidR="005F54E3" w:rsidRPr="00D44766">
        <w:rPr>
          <w:lang w:val="en-GB"/>
        </w:rPr>
        <w:t xml:space="preserve"> </w:t>
      </w:r>
      <w:r w:rsidR="00D44766" w:rsidRPr="00D44766">
        <w:rPr>
          <w:lang w:val="en-GB"/>
        </w:rPr>
        <w:t>non-</w:t>
      </w:r>
      <w:r w:rsidRPr="00D44766">
        <w:rPr>
          <w:lang w:val="en-GB"/>
        </w:rPr>
        <w:t>existing anymore. The effects for the industry</w:t>
      </w:r>
      <w:r w:rsidR="005F54E3" w:rsidRPr="00D44766">
        <w:rPr>
          <w:lang w:val="en-GB"/>
        </w:rPr>
        <w:t xml:space="preserve"> and all those working </w:t>
      </w:r>
      <w:r w:rsidRPr="00D44766">
        <w:rPr>
          <w:lang w:val="en-GB"/>
        </w:rPr>
        <w:t>direct</w:t>
      </w:r>
      <w:r w:rsidR="005F54E3" w:rsidRPr="00D44766">
        <w:rPr>
          <w:lang w:val="en-GB"/>
        </w:rPr>
        <w:t>ly or i</w:t>
      </w:r>
      <w:r w:rsidRPr="00D44766">
        <w:rPr>
          <w:lang w:val="en-GB"/>
        </w:rPr>
        <w:t>ndirect</w:t>
      </w:r>
      <w:r w:rsidR="005F54E3" w:rsidRPr="00D44766">
        <w:rPr>
          <w:lang w:val="en-GB"/>
        </w:rPr>
        <w:t xml:space="preserve">ly in the </w:t>
      </w:r>
      <w:r w:rsidR="00D04A4F">
        <w:rPr>
          <w:lang w:val="en-GB"/>
        </w:rPr>
        <w:t>sector</w:t>
      </w:r>
      <w:r w:rsidRPr="00D44766">
        <w:rPr>
          <w:lang w:val="en-GB"/>
        </w:rPr>
        <w:t xml:space="preserve"> were devastating</w:t>
      </w:r>
      <w:r w:rsidR="00D04A4F">
        <w:rPr>
          <w:lang w:val="en-GB"/>
        </w:rPr>
        <w:t>. T</w:t>
      </w:r>
      <w:r w:rsidRPr="00D44766">
        <w:rPr>
          <w:lang w:val="en-GB"/>
        </w:rPr>
        <w:t xml:space="preserve">he </w:t>
      </w:r>
      <w:r w:rsidR="00EE30E9">
        <w:rPr>
          <w:color w:val="00B050"/>
          <w:lang w:val="en-GB"/>
        </w:rPr>
        <w:t>UNWTO</w:t>
      </w:r>
      <w:r w:rsidR="0006043B" w:rsidRPr="000A7201">
        <w:rPr>
          <w:color w:val="00B050"/>
          <w:lang w:val="en-GB"/>
        </w:rPr>
        <w:t xml:space="preserve"> </w:t>
      </w:r>
      <w:r w:rsidRPr="000A7201">
        <w:rPr>
          <w:color w:val="00B050"/>
          <w:lang w:val="en-GB"/>
        </w:rPr>
        <w:t>(2023</w:t>
      </w:r>
      <w:r w:rsidR="00780C6A">
        <w:rPr>
          <w:color w:val="00B050"/>
          <w:lang w:val="en-GB"/>
        </w:rPr>
        <w:t>a</w:t>
      </w:r>
      <w:r w:rsidRPr="000A7201">
        <w:rPr>
          <w:color w:val="00B050"/>
          <w:lang w:val="en-GB"/>
        </w:rPr>
        <w:t>)</w:t>
      </w:r>
      <w:r w:rsidRPr="00D44766">
        <w:rPr>
          <w:lang w:val="en-GB"/>
        </w:rPr>
        <w:t xml:space="preserve"> estimated that 100</w:t>
      </w:r>
      <w:r w:rsidR="0006043B" w:rsidRPr="00D44766">
        <w:rPr>
          <w:lang w:val="en-GB"/>
        </w:rPr>
        <w:t xml:space="preserve"> to </w:t>
      </w:r>
      <w:r w:rsidRPr="00D44766">
        <w:rPr>
          <w:lang w:val="en-GB"/>
        </w:rPr>
        <w:t>120 million</w:t>
      </w:r>
      <w:r w:rsidR="00D04A4F">
        <w:rPr>
          <w:lang w:val="en-GB"/>
        </w:rPr>
        <w:t xml:space="preserve"> positions, translating into a third of all </w:t>
      </w:r>
      <w:r w:rsidRPr="00D44766">
        <w:rPr>
          <w:lang w:val="en-GB"/>
        </w:rPr>
        <w:t xml:space="preserve">jobs </w:t>
      </w:r>
      <w:r w:rsidR="00D04A4F">
        <w:rPr>
          <w:lang w:val="en-GB"/>
        </w:rPr>
        <w:t xml:space="preserve">affiliated to tourism </w:t>
      </w:r>
      <w:r w:rsidRPr="00D44766">
        <w:rPr>
          <w:lang w:val="en-GB"/>
        </w:rPr>
        <w:t xml:space="preserve">worldwide where at </w:t>
      </w:r>
      <w:r w:rsidR="00D04A4F">
        <w:rPr>
          <w:lang w:val="en-GB"/>
        </w:rPr>
        <w:t>risk</w:t>
      </w:r>
      <w:r w:rsidR="005F54E3" w:rsidRPr="00D44766">
        <w:rPr>
          <w:lang w:val="en-GB"/>
        </w:rPr>
        <w:t>. The number is estimated to be even higher</w:t>
      </w:r>
      <w:r w:rsidRPr="00D44766">
        <w:rPr>
          <w:lang w:val="en-GB"/>
        </w:rPr>
        <w:t xml:space="preserve"> considering the secondary services </w:t>
      </w:r>
      <w:r w:rsidR="0006043B" w:rsidRPr="00D44766">
        <w:rPr>
          <w:lang w:val="en-GB"/>
        </w:rPr>
        <w:t xml:space="preserve">from </w:t>
      </w:r>
      <w:r w:rsidRPr="00D44766">
        <w:rPr>
          <w:lang w:val="en-GB"/>
        </w:rPr>
        <w:t>which</w:t>
      </w:r>
      <w:r w:rsidR="0006043B" w:rsidRPr="00D44766">
        <w:rPr>
          <w:lang w:val="en-GB"/>
        </w:rPr>
        <w:t xml:space="preserve"> people</w:t>
      </w:r>
      <w:r w:rsidRPr="00D44766">
        <w:rPr>
          <w:lang w:val="en-GB"/>
        </w:rPr>
        <w:t xml:space="preserve"> also make a livelihood out of tourism.</w:t>
      </w:r>
      <w:r w:rsidR="00FD1FE9" w:rsidRPr="00D44766">
        <w:rPr>
          <w:lang w:val="en-GB"/>
        </w:rPr>
        <w:t xml:space="preserve"> These times were characterised by great insecurity – not only within the industry but on a global scale. Looking at tourism it was </w:t>
      </w:r>
      <w:r w:rsidR="00D04A4F">
        <w:rPr>
          <w:lang w:val="en-GB"/>
        </w:rPr>
        <w:t>uncertain and unpredictable</w:t>
      </w:r>
      <w:r w:rsidR="00D44766" w:rsidRPr="00D44766">
        <w:rPr>
          <w:lang w:val="en-GB"/>
        </w:rPr>
        <w:t xml:space="preserve"> when</w:t>
      </w:r>
      <w:r w:rsidR="00FD1FE9" w:rsidRPr="00D44766">
        <w:rPr>
          <w:lang w:val="en-GB"/>
        </w:rPr>
        <w:t xml:space="preserve"> borders would open again and what the aftermaths of the pandemic would mean for the travel and tourism industry</w:t>
      </w:r>
      <w:r w:rsidR="00EE30E9">
        <w:rPr>
          <w:lang w:val="en-GB"/>
        </w:rPr>
        <w:t xml:space="preserve"> and all stakeholders involved.</w:t>
      </w:r>
      <w:r w:rsidR="00FD1FE9" w:rsidRPr="00D44766">
        <w:rPr>
          <w:lang w:val="en-GB"/>
        </w:rPr>
        <w:t xml:space="preserve"> </w:t>
      </w:r>
      <w:r w:rsidR="004C5606" w:rsidRPr="00D44766">
        <w:rPr>
          <w:lang w:val="en-GB"/>
        </w:rPr>
        <w:t>Many TOs struggled</w:t>
      </w:r>
      <w:r w:rsidR="00EE30E9">
        <w:rPr>
          <w:lang w:val="en-GB"/>
        </w:rPr>
        <w:t xml:space="preserve"> as</w:t>
      </w:r>
      <w:r w:rsidR="004C5606" w:rsidRPr="00D44766">
        <w:rPr>
          <w:lang w:val="en-GB"/>
        </w:rPr>
        <w:t xml:space="preserve"> they had to fulfil contractual obligations and pay the service providers </w:t>
      </w:r>
      <w:r w:rsidR="00EE30E9">
        <w:rPr>
          <w:lang w:val="en-GB"/>
        </w:rPr>
        <w:t xml:space="preserve">(e.g., </w:t>
      </w:r>
      <w:r w:rsidR="004C5606" w:rsidRPr="00D44766">
        <w:rPr>
          <w:lang w:val="en-GB"/>
        </w:rPr>
        <w:t>hotels</w:t>
      </w:r>
      <w:r w:rsidR="00EE30E9">
        <w:rPr>
          <w:lang w:val="en-GB"/>
        </w:rPr>
        <w:t>)</w:t>
      </w:r>
      <w:r w:rsidR="004C5606" w:rsidRPr="00D44766">
        <w:rPr>
          <w:lang w:val="en-GB"/>
        </w:rPr>
        <w:t xml:space="preserve"> but </w:t>
      </w:r>
      <w:r w:rsidR="004B6B9D" w:rsidRPr="00D44766">
        <w:rPr>
          <w:lang w:val="en-GB"/>
        </w:rPr>
        <w:t>simultaneously they also had to refund clients</w:t>
      </w:r>
      <w:r w:rsidR="00D04A4F">
        <w:rPr>
          <w:lang w:val="en-GB"/>
        </w:rPr>
        <w:t>. Especially the German law posed strains on TOs</w:t>
      </w:r>
      <w:r w:rsidR="00B11164">
        <w:rPr>
          <w:lang w:val="en-GB"/>
        </w:rPr>
        <w:t>,</w:t>
      </w:r>
      <w:r w:rsidR="00D04A4F">
        <w:rPr>
          <w:lang w:val="en-GB"/>
        </w:rPr>
        <w:t xml:space="preserve"> as clients had to be refunded within a set time</w:t>
      </w:r>
      <w:r w:rsidR="000A2FBA">
        <w:rPr>
          <w:lang w:val="en-GB"/>
        </w:rPr>
        <w:t xml:space="preserve"> whereas the TOs did not get money back or only very deferred,</w:t>
      </w:r>
      <w:r w:rsidR="004B6B9D" w:rsidRPr="00D44766">
        <w:rPr>
          <w:lang w:val="en-GB"/>
        </w:rPr>
        <w:t xml:space="preserve"> leading to tremendous financial burdens</w:t>
      </w:r>
      <w:r w:rsidR="000A2FBA">
        <w:rPr>
          <w:lang w:val="en-GB"/>
        </w:rPr>
        <w:t xml:space="preserve"> and liquidity problems</w:t>
      </w:r>
      <w:r w:rsidR="004B6B9D" w:rsidRPr="00D44766">
        <w:rPr>
          <w:lang w:val="en-GB"/>
        </w:rPr>
        <w:t xml:space="preserve"> which were only later assisted by governmental funds and support payments. Likewise travel agents and </w:t>
      </w:r>
      <w:r w:rsidR="00B11164">
        <w:rPr>
          <w:lang w:val="en-GB"/>
        </w:rPr>
        <w:t>SME TOs</w:t>
      </w:r>
      <w:r w:rsidR="004B6B9D" w:rsidRPr="00D44766">
        <w:rPr>
          <w:lang w:val="en-GB"/>
        </w:rPr>
        <w:t xml:space="preserve"> had to reverse all the bookings – and because of the peculiarities of the TO-T</w:t>
      </w:r>
      <w:r w:rsidR="00B11164">
        <w:rPr>
          <w:lang w:val="en-GB"/>
        </w:rPr>
        <w:t>ravel Agency (TA)</w:t>
      </w:r>
      <w:r w:rsidR="004B6B9D" w:rsidRPr="00D44766">
        <w:rPr>
          <w:lang w:val="en-GB"/>
        </w:rPr>
        <w:t xml:space="preserve"> relationship, travel agents did not earn their commission on any booking that was cancelled despite all the extra work. </w:t>
      </w:r>
    </w:p>
    <w:p w14:paraId="1F537CFF" w14:textId="36E1C22A" w:rsidR="00A30B11" w:rsidRPr="00D44766" w:rsidRDefault="00C6329F" w:rsidP="002E26E0">
      <w:pPr>
        <w:contextualSpacing/>
        <w:rPr>
          <w:lang w:val="en-GB"/>
        </w:rPr>
      </w:pPr>
      <w:r>
        <w:rPr>
          <w:lang w:val="en-GB"/>
        </w:rPr>
        <w:t>I</w:t>
      </w:r>
      <w:r w:rsidR="00A30B11" w:rsidRPr="00D44766">
        <w:rPr>
          <w:lang w:val="en-GB"/>
        </w:rPr>
        <w:t xml:space="preserve">n 2021, tourism slowly but steadily started to revive – still with </w:t>
      </w:r>
      <w:r w:rsidR="00D44766" w:rsidRPr="00D44766">
        <w:rPr>
          <w:lang w:val="en-GB"/>
        </w:rPr>
        <w:t>strict</w:t>
      </w:r>
      <w:r w:rsidR="00A30B11" w:rsidRPr="00D44766">
        <w:rPr>
          <w:lang w:val="en-GB"/>
        </w:rPr>
        <w:t xml:space="preserve"> restrictions and limitations but countries did start to open their borders again. Ever since then, international and national tourism has made a strong comeback. </w:t>
      </w:r>
      <w:r w:rsidR="00985469" w:rsidRPr="00D44766">
        <w:rPr>
          <w:lang w:val="en-GB"/>
        </w:rPr>
        <w:t xml:space="preserve">The </w:t>
      </w:r>
      <w:r w:rsidR="00A30B11" w:rsidRPr="00890F7B">
        <w:rPr>
          <w:color w:val="00B050"/>
          <w:lang w:val="en-GB"/>
        </w:rPr>
        <w:t>UNWTO (2023</w:t>
      </w:r>
      <w:r w:rsidR="00780C6A">
        <w:rPr>
          <w:color w:val="00B050"/>
          <w:lang w:val="en-GB"/>
        </w:rPr>
        <w:t>b</w:t>
      </w:r>
      <w:r w:rsidR="00A30B11" w:rsidRPr="00890F7B">
        <w:rPr>
          <w:color w:val="00B050"/>
          <w:lang w:val="en-GB"/>
        </w:rPr>
        <w:t>)</w:t>
      </w:r>
      <w:r w:rsidR="00A30B11" w:rsidRPr="00D44766">
        <w:rPr>
          <w:lang w:val="en-GB"/>
        </w:rPr>
        <w:t xml:space="preserve"> predict</w:t>
      </w:r>
      <w:r w:rsidR="00985469" w:rsidRPr="00D44766">
        <w:rPr>
          <w:lang w:val="en-GB"/>
        </w:rPr>
        <w:t>s</w:t>
      </w:r>
      <w:r w:rsidR="00A30B11" w:rsidRPr="00D44766">
        <w:rPr>
          <w:lang w:val="en-GB"/>
        </w:rPr>
        <w:t xml:space="preserve"> that international arrivals will be back to 80-95% of pre-pandemic level</w:t>
      </w:r>
      <w:r>
        <w:rPr>
          <w:lang w:val="en-GB"/>
        </w:rPr>
        <w:t xml:space="preserve"> in 2023</w:t>
      </w:r>
      <w:r w:rsidR="00A30B11" w:rsidRPr="00D44766">
        <w:rPr>
          <w:lang w:val="en-GB"/>
        </w:rPr>
        <w:t xml:space="preserve">. </w:t>
      </w:r>
      <w:r w:rsidR="00AF0B9B" w:rsidRPr="00D44766">
        <w:rPr>
          <w:lang w:val="en-GB"/>
        </w:rPr>
        <w:t xml:space="preserve">The latest Tourism Barometer published by </w:t>
      </w:r>
      <w:r w:rsidR="00985469" w:rsidRPr="00D44766">
        <w:rPr>
          <w:lang w:val="en-GB"/>
        </w:rPr>
        <w:t xml:space="preserve">the </w:t>
      </w:r>
      <w:r w:rsidR="00AF0B9B" w:rsidRPr="00890F7B">
        <w:rPr>
          <w:color w:val="00B050"/>
          <w:lang w:val="en-GB"/>
        </w:rPr>
        <w:t>UNWTO in May (2023</w:t>
      </w:r>
      <w:r w:rsidR="00780C6A">
        <w:rPr>
          <w:color w:val="00B050"/>
          <w:lang w:val="en-GB"/>
        </w:rPr>
        <w:t>c</w:t>
      </w:r>
      <w:r w:rsidR="00AF0B9B" w:rsidRPr="00890F7B">
        <w:rPr>
          <w:color w:val="00B050"/>
          <w:lang w:val="en-GB"/>
        </w:rPr>
        <w:t>)</w:t>
      </w:r>
      <w:r w:rsidR="00AF0B9B" w:rsidRPr="00D44766">
        <w:rPr>
          <w:lang w:val="en-GB"/>
        </w:rPr>
        <w:t xml:space="preserve"> show</w:t>
      </w:r>
      <w:r w:rsidR="00D05C09" w:rsidRPr="00D44766">
        <w:rPr>
          <w:lang w:val="en-GB"/>
        </w:rPr>
        <w:t>s</w:t>
      </w:r>
      <w:r w:rsidR="00AF0B9B" w:rsidRPr="00D44766">
        <w:rPr>
          <w:lang w:val="en-GB"/>
        </w:rPr>
        <w:t xml:space="preserve"> a strong positive trend – international tourist arrivals are </w:t>
      </w:r>
      <w:r w:rsidR="00985469" w:rsidRPr="00D44766">
        <w:rPr>
          <w:lang w:val="en-GB"/>
        </w:rPr>
        <w:t xml:space="preserve">indeed </w:t>
      </w:r>
      <w:r w:rsidR="00AF0B9B" w:rsidRPr="00D44766">
        <w:rPr>
          <w:lang w:val="en-GB"/>
        </w:rPr>
        <w:t>back at 80% of pre-pandemic levels for the first three months</w:t>
      </w:r>
      <w:r w:rsidR="006E2155" w:rsidRPr="00D44766">
        <w:rPr>
          <w:lang w:val="en-GB"/>
        </w:rPr>
        <w:t xml:space="preserve"> of 2023</w:t>
      </w:r>
      <w:r w:rsidR="00AF0B9B" w:rsidRPr="00D44766">
        <w:rPr>
          <w:lang w:val="en-GB"/>
        </w:rPr>
        <w:t xml:space="preserve">, which represents a growth of 86% compared to </w:t>
      </w:r>
      <w:r w:rsidR="00D05C09" w:rsidRPr="00D44766">
        <w:rPr>
          <w:lang w:val="en-GB"/>
        </w:rPr>
        <w:t xml:space="preserve">the </w:t>
      </w:r>
      <w:r w:rsidR="00AF0B9B" w:rsidRPr="00D44766">
        <w:rPr>
          <w:lang w:val="en-GB"/>
        </w:rPr>
        <w:t xml:space="preserve">same time last year, </w:t>
      </w:r>
      <w:r w:rsidR="006E2155" w:rsidRPr="00D44766">
        <w:rPr>
          <w:lang w:val="en-GB"/>
        </w:rPr>
        <w:t>which translates into a</w:t>
      </w:r>
      <w:r w:rsidR="00AF0B9B" w:rsidRPr="00D44766">
        <w:rPr>
          <w:lang w:val="en-GB"/>
        </w:rPr>
        <w:t xml:space="preserve">pproximately 235 million tourists in the first quarter of 2023. </w:t>
      </w:r>
      <w:r w:rsidR="009327EF" w:rsidRPr="00D44766">
        <w:rPr>
          <w:lang w:val="en-GB"/>
        </w:rPr>
        <w:t xml:space="preserve">Looking at the German outbound travel market, 2023 has almost reached the levels of the record year 2019 – reaching 95% of the </w:t>
      </w:r>
      <w:r w:rsidR="006E2155" w:rsidRPr="00D44766">
        <w:rPr>
          <w:lang w:val="en-GB"/>
        </w:rPr>
        <w:t>2019</w:t>
      </w:r>
      <w:r w:rsidR="009327EF" w:rsidRPr="00D44766">
        <w:rPr>
          <w:lang w:val="en-GB"/>
        </w:rPr>
        <w:t xml:space="preserve"> number</w:t>
      </w:r>
      <w:r w:rsidR="00A839C2" w:rsidRPr="00D44766">
        <w:rPr>
          <w:lang w:val="en-GB"/>
        </w:rPr>
        <w:t xml:space="preserve">. </w:t>
      </w:r>
      <w:r w:rsidR="000A2FBA">
        <w:rPr>
          <w:lang w:val="en-GB"/>
        </w:rPr>
        <w:t xml:space="preserve">Demand for travel was even higher than the figures represent but was slowed down due to limits in flight capacity and increasing prices. </w:t>
      </w:r>
      <w:r w:rsidR="006E2155" w:rsidRPr="00D44766">
        <w:rPr>
          <w:lang w:val="en-GB"/>
        </w:rPr>
        <w:t>F</w:t>
      </w:r>
      <w:r w:rsidR="00A839C2" w:rsidRPr="00D44766">
        <w:rPr>
          <w:lang w:val="en-GB"/>
        </w:rPr>
        <w:t xml:space="preserve">igures provided by ta.ts – focusing on the turnover of travel agencies – </w:t>
      </w:r>
      <w:r w:rsidR="006E2155" w:rsidRPr="00D44766">
        <w:rPr>
          <w:lang w:val="en-GB"/>
        </w:rPr>
        <w:t xml:space="preserve">show that </w:t>
      </w:r>
      <w:r w:rsidR="00A839C2" w:rsidRPr="00D44766">
        <w:rPr>
          <w:lang w:val="en-GB"/>
        </w:rPr>
        <w:t>the sales end of busi</w:t>
      </w:r>
      <w:r w:rsidR="00A839C2" w:rsidRPr="00D44766">
        <w:rPr>
          <w:lang w:val="en-GB"/>
        </w:rPr>
        <w:lastRenderedPageBreak/>
        <w:t>ness year</w:t>
      </w:r>
      <w:r w:rsidR="00985469" w:rsidRPr="00D44766">
        <w:rPr>
          <w:lang w:val="en-GB"/>
        </w:rPr>
        <w:t xml:space="preserve"> in</w:t>
      </w:r>
      <w:r w:rsidR="00A839C2" w:rsidRPr="00D44766">
        <w:rPr>
          <w:lang w:val="en-GB"/>
        </w:rPr>
        <w:t xml:space="preserve"> May 2023</w:t>
      </w:r>
      <w:r w:rsidR="00985469" w:rsidRPr="00D44766">
        <w:rPr>
          <w:lang w:val="en-GB"/>
        </w:rPr>
        <w:t>,</w:t>
      </w:r>
      <w:r w:rsidR="00A839C2" w:rsidRPr="00D44766">
        <w:rPr>
          <w:lang w:val="en-GB"/>
        </w:rPr>
        <w:t xml:space="preserve"> are even 7% higher than in the record year of 2019 (</w:t>
      </w:r>
      <w:r w:rsidR="00A839C2" w:rsidRPr="00890F7B">
        <w:rPr>
          <w:color w:val="00B050"/>
          <w:lang w:val="en-GB"/>
        </w:rPr>
        <w:t>ta.ts, 2023).</w:t>
      </w:r>
      <w:r w:rsidR="00852885" w:rsidRPr="00D44766">
        <w:rPr>
          <w:lang w:val="en-GB"/>
        </w:rPr>
        <w:t xml:space="preserve"> The given trend</w:t>
      </w:r>
      <w:r w:rsidR="00985469" w:rsidRPr="00D44766">
        <w:rPr>
          <w:lang w:val="en-GB"/>
        </w:rPr>
        <w:t>s</w:t>
      </w:r>
      <w:r w:rsidR="00852885" w:rsidRPr="00D44766">
        <w:rPr>
          <w:lang w:val="en-GB"/>
        </w:rPr>
        <w:t xml:space="preserve"> </w:t>
      </w:r>
      <w:r w:rsidR="006E2155" w:rsidRPr="00D44766">
        <w:rPr>
          <w:lang w:val="en-GB"/>
        </w:rPr>
        <w:t>indicate</w:t>
      </w:r>
      <w:r w:rsidR="00852885" w:rsidRPr="00D44766">
        <w:rPr>
          <w:lang w:val="en-GB"/>
        </w:rPr>
        <w:t xml:space="preserve"> a clear trajectory for the future development of the travel and tourism industry: back to pre-C</w:t>
      </w:r>
      <w:r>
        <w:rPr>
          <w:lang w:val="en-GB"/>
        </w:rPr>
        <w:t>OVID</w:t>
      </w:r>
      <w:r w:rsidR="00362F0D">
        <w:rPr>
          <w:lang w:val="en-GB"/>
        </w:rPr>
        <w:t xml:space="preserve"> </w:t>
      </w:r>
      <w:r w:rsidR="00852885" w:rsidRPr="00D44766">
        <w:rPr>
          <w:lang w:val="en-GB"/>
        </w:rPr>
        <w:t xml:space="preserve"> level and </w:t>
      </w:r>
      <w:r w:rsidR="00985469" w:rsidRPr="00D44766">
        <w:rPr>
          <w:lang w:val="en-GB"/>
        </w:rPr>
        <w:t>even beyond that with future growth</w:t>
      </w:r>
      <w:r w:rsidR="006E2155" w:rsidRPr="00D44766">
        <w:rPr>
          <w:lang w:val="en-GB"/>
        </w:rPr>
        <w:t xml:space="preserve"> expected</w:t>
      </w:r>
      <w:r w:rsidR="00985469" w:rsidRPr="00D44766">
        <w:rPr>
          <w:lang w:val="en-GB"/>
        </w:rPr>
        <w:t xml:space="preserve">. </w:t>
      </w:r>
      <w:r w:rsidR="00852885" w:rsidRPr="00D44766">
        <w:rPr>
          <w:lang w:val="en-GB"/>
        </w:rPr>
        <w:t xml:space="preserve">However, there are some academics and </w:t>
      </w:r>
      <w:r w:rsidR="00985469" w:rsidRPr="00D44766">
        <w:rPr>
          <w:lang w:val="en-GB"/>
        </w:rPr>
        <w:t xml:space="preserve">travel </w:t>
      </w:r>
      <w:r w:rsidR="00852885" w:rsidRPr="00D44766">
        <w:rPr>
          <w:lang w:val="en-GB"/>
        </w:rPr>
        <w:t>professionals questioning this exact trajectory in the light of current climate change, sustainability debate etc</w:t>
      </w:r>
      <w:r w:rsidR="00985469" w:rsidRPr="00D44766">
        <w:rPr>
          <w:lang w:val="en-GB"/>
        </w:rPr>
        <w:t>. The large organisations such as UNWTO and W</w:t>
      </w:r>
      <w:r w:rsidR="00890F7B">
        <w:rPr>
          <w:lang w:val="en-GB"/>
        </w:rPr>
        <w:t>TTC</w:t>
      </w:r>
      <w:r w:rsidR="00985469" w:rsidRPr="00D44766">
        <w:rPr>
          <w:lang w:val="en-GB"/>
        </w:rPr>
        <w:t xml:space="preserve"> nevertheless tend to keep on pushing for a future growth </w:t>
      </w:r>
      <w:r w:rsidR="006E2155" w:rsidRPr="00D44766">
        <w:rPr>
          <w:lang w:val="en-GB"/>
        </w:rPr>
        <w:t xml:space="preserve">strategy </w:t>
      </w:r>
      <w:r w:rsidR="00985469" w:rsidRPr="00D44766">
        <w:rPr>
          <w:lang w:val="en-GB"/>
        </w:rPr>
        <w:t>in tourism w</w:t>
      </w:r>
      <w:r w:rsidR="006E2155" w:rsidRPr="00D44766">
        <w:rPr>
          <w:lang w:val="en-GB"/>
        </w:rPr>
        <w:t xml:space="preserve">hile </w:t>
      </w:r>
      <w:r w:rsidR="00985469" w:rsidRPr="00D44766">
        <w:rPr>
          <w:lang w:val="en-GB"/>
        </w:rPr>
        <w:t xml:space="preserve">equally also promoting </w:t>
      </w:r>
      <w:r w:rsidR="006E2155" w:rsidRPr="00D44766">
        <w:rPr>
          <w:lang w:val="en-GB"/>
        </w:rPr>
        <w:t xml:space="preserve">and demanding </w:t>
      </w:r>
      <w:r w:rsidR="00985469" w:rsidRPr="00D44766">
        <w:rPr>
          <w:lang w:val="en-GB"/>
        </w:rPr>
        <w:t xml:space="preserve">sustainability and inclusion of the Sustainable Development Goals (SGDs) </w:t>
      </w:r>
      <w:r w:rsidR="006E2155" w:rsidRPr="00D44766">
        <w:rPr>
          <w:lang w:val="en-GB"/>
        </w:rPr>
        <w:t>with</w:t>
      </w:r>
      <w:r w:rsidR="00985469" w:rsidRPr="00D44766">
        <w:rPr>
          <w:lang w:val="en-GB"/>
        </w:rPr>
        <w:t>in the industry. The seemingly paradox will be</w:t>
      </w:r>
      <w:r w:rsidR="003915F0" w:rsidRPr="00D44766">
        <w:rPr>
          <w:lang w:val="en-GB"/>
        </w:rPr>
        <w:t xml:space="preserve"> further </w:t>
      </w:r>
      <w:r w:rsidR="00985469" w:rsidRPr="00D44766">
        <w:rPr>
          <w:lang w:val="en-GB"/>
        </w:rPr>
        <w:t>e</w:t>
      </w:r>
      <w:r w:rsidR="003915F0" w:rsidRPr="00D44766">
        <w:rPr>
          <w:lang w:val="en-GB"/>
        </w:rPr>
        <w:t>xploited in the preceding chapters.</w:t>
      </w:r>
    </w:p>
    <w:p w14:paraId="620AA3E2" w14:textId="71287D47" w:rsidR="003C40E4" w:rsidRPr="00A67409" w:rsidRDefault="00661EAB" w:rsidP="00A67409">
      <w:pPr>
        <w:pStyle w:val="berschrift2"/>
        <w:rPr>
          <w:lang w:val="en-GB"/>
        </w:rPr>
      </w:pPr>
      <w:r w:rsidRPr="00A67409">
        <w:rPr>
          <w:lang w:val="en-GB"/>
        </w:rPr>
        <w:t xml:space="preserve"> </w:t>
      </w:r>
      <w:bookmarkStart w:id="14" w:name="_Toc143330978"/>
      <w:bookmarkStart w:id="15" w:name="_Toc143361645"/>
      <w:r w:rsidR="00A67409" w:rsidRPr="00A67409">
        <w:rPr>
          <w:lang w:val="en-GB"/>
        </w:rPr>
        <w:t xml:space="preserve">2.2. </w:t>
      </w:r>
      <w:r w:rsidR="003C40E4" w:rsidRPr="00A67409">
        <w:rPr>
          <w:lang w:val="en-GB"/>
        </w:rPr>
        <w:t xml:space="preserve">The Tourism </w:t>
      </w:r>
      <w:r w:rsidRPr="00A67409">
        <w:rPr>
          <w:lang w:val="en-GB"/>
        </w:rPr>
        <w:t>System</w:t>
      </w:r>
      <w:r w:rsidR="003C40E4" w:rsidRPr="00A67409">
        <w:rPr>
          <w:lang w:val="en-GB"/>
        </w:rPr>
        <w:t xml:space="preserve"> </w:t>
      </w:r>
      <w:r w:rsidR="0060259F">
        <w:rPr>
          <w:lang w:val="en-GB"/>
        </w:rPr>
        <w:t>and - Product</w:t>
      </w:r>
      <w:bookmarkEnd w:id="14"/>
      <w:bookmarkEnd w:id="15"/>
    </w:p>
    <w:p w14:paraId="7295CDF5" w14:textId="77777777" w:rsidR="0025546E" w:rsidRDefault="00807BCC" w:rsidP="002E26E0">
      <w:pPr>
        <w:contextualSpacing/>
        <w:rPr>
          <w:lang w:val="en-GB"/>
        </w:rPr>
      </w:pPr>
      <w:r w:rsidRPr="00D44766">
        <w:rPr>
          <w:lang w:val="en-GB"/>
        </w:rPr>
        <w:t>Before looking at the tourism system as such</w:t>
      </w:r>
      <w:r w:rsidR="00362F0D">
        <w:rPr>
          <w:lang w:val="en-GB"/>
        </w:rPr>
        <w:t>,</w:t>
      </w:r>
      <w:r w:rsidRPr="00D44766">
        <w:rPr>
          <w:lang w:val="en-GB"/>
        </w:rPr>
        <w:t xml:space="preserve"> </w:t>
      </w:r>
      <w:r w:rsidR="009078DB" w:rsidRPr="00D44766">
        <w:rPr>
          <w:lang w:val="en-GB"/>
        </w:rPr>
        <w:t>a few characteristics about the tourism pro</w:t>
      </w:r>
      <w:r w:rsidR="00362F0D">
        <w:rPr>
          <w:lang w:val="en-GB"/>
        </w:rPr>
        <w:t>-</w:t>
      </w:r>
      <w:r w:rsidR="009078DB" w:rsidRPr="00D44766">
        <w:rPr>
          <w:lang w:val="en-GB"/>
        </w:rPr>
        <w:t xml:space="preserve">duct have to be mentioned. First of </w:t>
      </w:r>
      <w:r w:rsidR="00AA538D" w:rsidRPr="00D44766">
        <w:rPr>
          <w:lang w:val="en-GB"/>
        </w:rPr>
        <w:t>all,</w:t>
      </w:r>
      <w:r w:rsidR="009078DB" w:rsidRPr="00D44766">
        <w:rPr>
          <w:lang w:val="en-GB"/>
        </w:rPr>
        <w:t xml:space="preserve"> the tourism product i</w:t>
      </w:r>
      <w:r w:rsidR="001E35B1" w:rsidRPr="00D44766">
        <w:rPr>
          <w:lang w:val="en-GB"/>
        </w:rPr>
        <w:t>s</w:t>
      </w:r>
      <w:r w:rsidR="009078DB" w:rsidRPr="00D44766">
        <w:rPr>
          <w:lang w:val="en-GB"/>
        </w:rPr>
        <w:t xml:space="preserve"> </w:t>
      </w:r>
      <w:r w:rsidR="009078DB" w:rsidRPr="00D44766">
        <w:rPr>
          <w:highlight w:val="yellow"/>
          <w:lang w:val="en-GB"/>
        </w:rPr>
        <w:t>intangibl</w:t>
      </w:r>
      <w:r w:rsidR="000A2FBA">
        <w:rPr>
          <w:lang w:val="en-GB"/>
        </w:rPr>
        <w:t>e. This means that clients</w:t>
      </w:r>
      <w:r w:rsidR="009078DB" w:rsidRPr="00D44766">
        <w:rPr>
          <w:lang w:val="en-GB"/>
        </w:rPr>
        <w:t xml:space="preserve"> at the time of purchase </w:t>
      </w:r>
      <w:r w:rsidR="00985469" w:rsidRPr="00D44766">
        <w:rPr>
          <w:lang w:val="en-GB"/>
        </w:rPr>
        <w:t>go home with nothing more than a piece of paper at best – an offer and a contract which details what services they just bought. With that contract t</w:t>
      </w:r>
      <w:r w:rsidR="001E35B1" w:rsidRPr="00D44766">
        <w:rPr>
          <w:lang w:val="en-GB"/>
        </w:rPr>
        <w:t>hey do acquire a right to access a service at a predefine</w:t>
      </w:r>
      <w:r w:rsidR="000A2FBA">
        <w:rPr>
          <w:lang w:val="en-GB"/>
        </w:rPr>
        <w:t>d</w:t>
      </w:r>
      <w:r w:rsidR="001E35B1" w:rsidRPr="00D44766">
        <w:rPr>
          <w:lang w:val="en-GB"/>
        </w:rPr>
        <w:t xml:space="preserve"> time and place but at the actual time of purchase consumers</w:t>
      </w:r>
      <w:r w:rsidR="009078DB" w:rsidRPr="00D44766">
        <w:rPr>
          <w:lang w:val="en-GB"/>
        </w:rPr>
        <w:t xml:space="preserve"> do not know what </w:t>
      </w:r>
      <w:r w:rsidR="001E35B1" w:rsidRPr="00D44766">
        <w:rPr>
          <w:lang w:val="en-GB"/>
        </w:rPr>
        <w:t xml:space="preserve">quality of </w:t>
      </w:r>
      <w:r w:rsidR="009078DB" w:rsidRPr="00D44766">
        <w:rPr>
          <w:lang w:val="en-GB"/>
        </w:rPr>
        <w:t>service they will rece</w:t>
      </w:r>
      <w:r w:rsidR="001E35B1" w:rsidRPr="00D44766">
        <w:rPr>
          <w:lang w:val="en-GB"/>
        </w:rPr>
        <w:t>ive</w:t>
      </w:r>
      <w:r w:rsidR="006E2155" w:rsidRPr="00D44766">
        <w:rPr>
          <w:lang w:val="en-GB"/>
        </w:rPr>
        <w:t xml:space="preserve">. They can only estimate and </w:t>
      </w:r>
      <w:r w:rsidR="00985469" w:rsidRPr="00D44766">
        <w:rPr>
          <w:lang w:val="en-GB"/>
        </w:rPr>
        <w:t xml:space="preserve">evaluate the </w:t>
      </w:r>
      <w:r w:rsidR="006E2155" w:rsidRPr="00D44766">
        <w:rPr>
          <w:lang w:val="en-GB"/>
        </w:rPr>
        <w:t>potential product</w:t>
      </w:r>
      <w:r w:rsidR="000A2FBA">
        <w:rPr>
          <w:lang w:val="en-GB"/>
        </w:rPr>
        <w:t>-</w:t>
      </w:r>
      <w:r w:rsidR="006E2155" w:rsidRPr="00D44766">
        <w:rPr>
          <w:lang w:val="en-GB"/>
        </w:rPr>
        <w:t xml:space="preserve"> and </w:t>
      </w:r>
      <w:r w:rsidR="00985469" w:rsidRPr="00D44766">
        <w:rPr>
          <w:lang w:val="en-GB"/>
        </w:rPr>
        <w:t xml:space="preserve">service quality </w:t>
      </w:r>
      <w:r w:rsidR="006E2155" w:rsidRPr="00D44766">
        <w:rPr>
          <w:lang w:val="en-GB"/>
        </w:rPr>
        <w:t xml:space="preserve">through cues such as </w:t>
      </w:r>
      <w:r w:rsidR="000A2FBA">
        <w:rPr>
          <w:lang w:val="en-GB"/>
        </w:rPr>
        <w:t xml:space="preserve">the destination image, </w:t>
      </w:r>
      <w:r w:rsidR="006E2155" w:rsidRPr="00D44766">
        <w:rPr>
          <w:lang w:val="en-GB"/>
        </w:rPr>
        <w:t xml:space="preserve">hotel brand images or even </w:t>
      </w:r>
      <w:r w:rsidR="000A2FBA">
        <w:rPr>
          <w:lang w:val="en-GB"/>
        </w:rPr>
        <w:t>through the interaction with the agent</w:t>
      </w:r>
      <w:r w:rsidR="00362F0D">
        <w:rPr>
          <w:lang w:val="en-GB"/>
        </w:rPr>
        <w:t xml:space="preserve"> (travel agent or tour operator)</w:t>
      </w:r>
      <w:r w:rsidR="000A2FBA">
        <w:rPr>
          <w:lang w:val="en-GB"/>
        </w:rPr>
        <w:t xml:space="preserve"> at the point of sales.</w:t>
      </w:r>
      <w:r w:rsidR="006E2155" w:rsidRPr="00D44766">
        <w:rPr>
          <w:lang w:val="en-GB"/>
        </w:rPr>
        <w:t xml:space="preserve"> </w:t>
      </w:r>
      <w:r w:rsidR="00F04EC8" w:rsidRPr="00D44766">
        <w:rPr>
          <w:lang w:val="en-GB"/>
        </w:rPr>
        <w:t>Unlike in other industries the product</w:t>
      </w:r>
      <w:r w:rsidR="0025546E">
        <w:rPr>
          <w:lang w:val="en-GB"/>
        </w:rPr>
        <w:t>/service</w:t>
      </w:r>
      <w:r w:rsidR="00F04EC8" w:rsidRPr="00D44766">
        <w:rPr>
          <w:lang w:val="en-GB"/>
        </w:rPr>
        <w:t xml:space="preserve"> cannot simply be </w:t>
      </w:r>
      <w:r w:rsidR="0025546E">
        <w:rPr>
          <w:lang w:val="en-GB"/>
        </w:rPr>
        <w:t xml:space="preserve">tested prior to purchase or </w:t>
      </w:r>
      <w:r w:rsidR="00F04EC8" w:rsidRPr="00D44766">
        <w:rPr>
          <w:lang w:val="en-GB"/>
        </w:rPr>
        <w:t xml:space="preserve">returned </w:t>
      </w:r>
      <w:r w:rsidR="000A2FBA">
        <w:rPr>
          <w:lang w:val="en-GB"/>
        </w:rPr>
        <w:t xml:space="preserve">with the right to claim reimbursement </w:t>
      </w:r>
      <w:r w:rsidR="00F04EC8" w:rsidRPr="00D44766">
        <w:rPr>
          <w:lang w:val="en-GB"/>
        </w:rPr>
        <w:t>if the pro</w:t>
      </w:r>
      <w:r w:rsidR="0025546E">
        <w:rPr>
          <w:lang w:val="en-GB"/>
        </w:rPr>
        <w:t>-</w:t>
      </w:r>
      <w:r w:rsidR="00F04EC8" w:rsidRPr="00D44766">
        <w:rPr>
          <w:lang w:val="en-GB"/>
        </w:rPr>
        <w:t>duct</w:t>
      </w:r>
      <w:r w:rsidR="0025546E">
        <w:rPr>
          <w:lang w:val="en-GB"/>
        </w:rPr>
        <w:t>/service</w:t>
      </w:r>
      <w:r w:rsidR="00F04EC8" w:rsidRPr="00D44766">
        <w:rPr>
          <w:lang w:val="en-GB"/>
        </w:rPr>
        <w:t xml:space="preserve"> is not what clients had expected. </w:t>
      </w:r>
      <w:r w:rsidR="00D44766" w:rsidRPr="00D44766">
        <w:rPr>
          <w:lang w:val="en-GB"/>
        </w:rPr>
        <w:t>So,</w:t>
      </w:r>
      <w:r w:rsidR="00F04EC8" w:rsidRPr="00D44766">
        <w:rPr>
          <w:lang w:val="en-GB"/>
        </w:rPr>
        <w:t xml:space="preserve"> the purchase of tourism products</w:t>
      </w:r>
      <w:r w:rsidR="0025546E">
        <w:rPr>
          <w:lang w:val="en-GB"/>
        </w:rPr>
        <w:t>/services</w:t>
      </w:r>
      <w:r w:rsidR="00F04EC8" w:rsidRPr="00D44766">
        <w:rPr>
          <w:lang w:val="en-GB"/>
        </w:rPr>
        <w:t xml:space="preserve"> is subject to higher risks</w:t>
      </w:r>
      <w:r w:rsidR="0025546E">
        <w:rPr>
          <w:lang w:val="en-GB"/>
        </w:rPr>
        <w:t>. I</w:t>
      </w:r>
      <w:r w:rsidR="00F04EC8" w:rsidRPr="00D44766">
        <w:rPr>
          <w:lang w:val="en-GB"/>
        </w:rPr>
        <w:t xml:space="preserve">ndependently </w:t>
      </w:r>
      <w:r w:rsidR="0025546E">
        <w:rPr>
          <w:lang w:val="en-GB"/>
        </w:rPr>
        <w:t>of</w:t>
      </w:r>
      <w:r w:rsidR="00F04EC8" w:rsidRPr="00D44766">
        <w:rPr>
          <w:lang w:val="en-GB"/>
        </w:rPr>
        <w:t xml:space="preserve"> the budget, holidays are usually </w:t>
      </w:r>
      <w:r w:rsidR="00D710B4" w:rsidRPr="00D44766">
        <w:rPr>
          <w:lang w:val="en-GB"/>
        </w:rPr>
        <w:t xml:space="preserve">paid from excess-money </w:t>
      </w:r>
      <w:r w:rsidR="00F01C8E">
        <w:rPr>
          <w:lang w:val="en-GB"/>
        </w:rPr>
        <w:t>(</w:t>
      </w:r>
      <w:r w:rsidR="00F01C8E" w:rsidRPr="00F01C8E">
        <w:rPr>
          <w:color w:val="70AD47" w:themeColor="accent6"/>
          <w:lang w:val="en-GB"/>
        </w:rPr>
        <w:t>Münck, 2021</w:t>
      </w:r>
      <w:r w:rsidR="00F01C8E">
        <w:rPr>
          <w:lang w:val="en-GB"/>
        </w:rPr>
        <w:t xml:space="preserve">) </w:t>
      </w:r>
      <w:r w:rsidR="00D710B4" w:rsidRPr="00D44766">
        <w:rPr>
          <w:lang w:val="en-GB"/>
        </w:rPr>
        <w:t xml:space="preserve">and hence the monetary risk is not limited to only luxury </w:t>
      </w:r>
      <w:r w:rsidR="0025546E">
        <w:rPr>
          <w:lang w:val="en-GB"/>
        </w:rPr>
        <w:t>with partly extensive sums of money involved but it is equally applicable to all t</w:t>
      </w:r>
      <w:r w:rsidR="00D710B4" w:rsidRPr="00D44766">
        <w:rPr>
          <w:lang w:val="en-GB"/>
        </w:rPr>
        <w:t>ourism segment</w:t>
      </w:r>
      <w:r w:rsidR="0025546E">
        <w:rPr>
          <w:lang w:val="en-GB"/>
        </w:rPr>
        <w:t>s</w:t>
      </w:r>
      <w:r w:rsidR="00D710B4" w:rsidRPr="00D44766">
        <w:rPr>
          <w:lang w:val="en-GB"/>
        </w:rPr>
        <w:t>.</w:t>
      </w:r>
      <w:r w:rsidR="00F04EC8" w:rsidRPr="00D44766">
        <w:rPr>
          <w:lang w:val="en-GB"/>
        </w:rPr>
        <w:t xml:space="preserve"> </w:t>
      </w:r>
      <w:r w:rsidR="001E35B1" w:rsidRPr="00D44766">
        <w:rPr>
          <w:lang w:val="en-GB"/>
        </w:rPr>
        <w:t>Moreover, in most case</w:t>
      </w:r>
      <w:r w:rsidR="006E2155" w:rsidRPr="00D44766">
        <w:rPr>
          <w:lang w:val="en-GB"/>
        </w:rPr>
        <w:t>s</w:t>
      </w:r>
      <w:r w:rsidR="001E35B1" w:rsidRPr="00D44766">
        <w:rPr>
          <w:lang w:val="en-GB"/>
        </w:rPr>
        <w:t xml:space="preserve"> </w:t>
      </w:r>
      <w:r w:rsidR="009078DB" w:rsidRPr="00D44766">
        <w:rPr>
          <w:lang w:val="en-GB"/>
        </w:rPr>
        <w:t>time of purchase and time of consumption</w:t>
      </w:r>
      <w:r w:rsidR="001E35B1" w:rsidRPr="00D44766">
        <w:rPr>
          <w:lang w:val="en-GB"/>
        </w:rPr>
        <w:t xml:space="preserve"> are </w:t>
      </w:r>
      <w:r w:rsidR="009078DB" w:rsidRPr="00D44766">
        <w:rPr>
          <w:lang w:val="en-GB"/>
        </w:rPr>
        <w:t>a significan</w:t>
      </w:r>
      <w:r w:rsidR="00392453" w:rsidRPr="00D44766">
        <w:rPr>
          <w:lang w:val="en-GB"/>
        </w:rPr>
        <w:t>t</w:t>
      </w:r>
      <w:r w:rsidR="009078DB" w:rsidRPr="00D44766">
        <w:rPr>
          <w:lang w:val="en-GB"/>
        </w:rPr>
        <w:t xml:space="preserve"> time </w:t>
      </w:r>
      <w:r w:rsidR="006E2155" w:rsidRPr="00D44766">
        <w:rPr>
          <w:lang w:val="en-GB"/>
        </w:rPr>
        <w:t xml:space="preserve">span </w:t>
      </w:r>
      <w:r w:rsidR="009078DB" w:rsidRPr="00D44766">
        <w:rPr>
          <w:lang w:val="en-GB"/>
        </w:rPr>
        <w:t xml:space="preserve">apart – in a nutshell: prior to </w:t>
      </w:r>
      <w:r w:rsidR="0025546E">
        <w:rPr>
          <w:lang w:val="en-GB"/>
        </w:rPr>
        <w:t>the actual</w:t>
      </w:r>
      <w:r w:rsidR="009078DB" w:rsidRPr="00D44766">
        <w:rPr>
          <w:lang w:val="en-GB"/>
        </w:rPr>
        <w:t xml:space="preserve"> consum</w:t>
      </w:r>
      <w:r w:rsidR="0025546E">
        <w:rPr>
          <w:lang w:val="en-GB"/>
        </w:rPr>
        <w:t xml:space="preserve">ption of </w:t>
      </w:r>
      <w:r w:rsidR="009078DB" w:rsidRPr="00D44766">
        <w:rPr>
          <w:lang w:val="en-GB"/>
        </w:rPr>
        <w:t>the product/service</w:t>
      </w:r>
      <w:r w:rsidR="0025546E">
        <w:rPr>
          <w:lang w:val="en-GB"/>
        </w:rPr>
        <w:t>,</w:t>
      </w:r>
      <w:r w:rsidR="009078DB" w:rsidRPr="00D44766">
        <w:rPr>
          <w:lang w:val="en-GB"/>
        </w:rPr>
        <w:t xml:space="preserve"> clients can only estimate its </w:t>
      </w:r>
      <w:r w:rsidR="00985469" w:rsidRPr="00D44766">
        <w:rPr>
          <w:lang w:val="en-GB"/>
        </w:rPr>
        <w:t xml:space="preserve">perceived </w:t>
      </w:r>
      <w:r w:rsidR="009078DB" w:rsidRPr="00D44766">
        <w:rPr>
          <w:lang w:val="en-GB"/>
        </w:rPr>
        <w:t>worth and quality</w:t>
      </w:r>
      <w:r w:rsidR="00757A5A" w:rsidRPr="00D44766">
        <w:rPr>
          <w:lang w:val="en-GB"/>
        </w:rPr>
        <w:t xml:space="preserve"> as there is no chance to sample</w:t>
      </w:r>
      <w:r w:rsidR="009D17F8">
        <w:rPr>
          <w:lang w:val="en-GB"/>
        </w:rPr>
        <w:t xml:space="preserve">. </w:t>
      </w:r>
      <w:r w:rsidR="0025546E">
        <w:rPr>
          <w:lang w:val="en-GB"/>
        </w:rPr>
        <w:t>The tourism experience in any party consists of services and s</w:t>
      </w:r>
      <w:r w:rsidR="00757A5A" w:rsidRPr="00D44766">
        <w:rPr>
          <w:lang w:val="en-GB"/>
        </w:rPr>
        <w:t>ervice quality has a higher vulnerability to differ</w:t>
      </w:r>
      <w:r w:rsidR="009D17F8">
        <w:rPr>
          <w:lang w:val="en-GB"/>
        </w:rPr>
        <w:t>, to be inconsistent</w:t>
      </w:r>
      <w:r w:rsidR="00757A5A" w:rsidRPr="00D44766">
        <w:rPr>
          <w:lang w:val="en-GB"/>
        </w:rPr>
        <w:t xml:space="preserve"> (</w:t>
      </w:r>
      <w:r w:rsidR="00757A5A" w:rsidRPr="00890F7B">
        <w:rPr>
          <w:color w:val="00B050"/>
          <w:lang w:val="en-GB"/>
        </w:rPr>
        <w:t>Chen and Peng, 2018</w:t>
      </w:r>
      <w:r w:rsidR="00757A5A" w:rsidRPr="00D44766">
        <w:rPr>
          <w:lang w:val="en-GB"/>
        </w:rPr>
        <w:t xml:space="preserve">) and additionally </w:t>
      </w:r>
      <w:r w:rsidR="009D17F8">
        <w:rPr>
          <w:lang w:val="en-GB"/>
        </w:rPr>
        <w:t xml:space="preserve">it </w:t>
      </w:r>
      <w:r w:rsidR="00D710B4" w:rsidRPr="00D44766">
        <w:rPr>
          <w:lang w:val="en-GB"/>
        </w:rPr>
        <w:t>is subject to</w:t>
      </w:r>
      <w:r w:rsidR="00757A5A" w:rsidRPr="00D44766">
        <w:rPr>
          <w:lang w:val="en-GB"/>
        </w:rPr>
        <w:t xml:space="preserve"> personal subjective evaluation. </w:t>
      </w:r>
      <w:r w:rsidR="00392453" w:rsidRPr="00D44766">
        <w:rPr>
          <w:lang w:val="en-GB"/>
        </w:rPr>
        <w:t>In tourism, consumers basically travel to the place</w:t>
      </w:r>
      <w:r w:rsidR="00D710B4" w:rsidRPr="00D44766">
        <w:rPr>
          <w:lang w:val="en-GB"/>
        </w:rPr>
        <w:t>,</w:t>
      </w:r>
      <w:r w:rsidR="00392453" w:rsidRPr="00D44766">
        <w:rPr>
          <w:lang w:val="en-GB"/>
        </w:rPr>
        <w:t xml:space="preserve"> where the purchased services are being delivered by third part</w:t>
      </w:r>
      <w:r w:rsidR="00985469" w:rsidRPr="00D44766">
        <w:rPr>
          <w:lang w:val="en-GB"/>
        </w:rPr>
        <w:t>ies</w:t>
      </w:r>
      <w:r w:rsidR="00392453" w:rsidRPr="00D44766">
        <w:rPr>
          <w:lang w:val="en-GB"/>
        </w:rPr>
        <w:t xml:space="preserve"> (</w:t>
      </w:r>
      <w:r w:rsidR="00392453" w:rsidRPr="00890F7B">
        <w:rPr>
          <w:color w:val="00B050"/>
          <w:lang w:val="en-GB"/>
        </w:rPr>
        <w:t>Kataya, 2021</w:t>
      </w:r>
      <w:r w:rsidR="00392453" w:rsidRPr="00D44766">
        <w:rPr>
          <w:lang w:val="en-GB"/>
        </w:rPr>
        <w:t>)</w:t>
      </w:r>
      <w:r w:rsidR="00D710B4" w:rsidRPr="00D44766">
        <w:rPr>
          <w:lang w:val="en-GB"/>
        </w:rPr>
        <w:t xml:space="preserve"> and </w:t>
      </w:r>
      <w:r w:rsidR="0025546E">
        <w:rPr>
          <w:lang w:val="en-GB"/>
        </w:rPr>
        <w:t>not</w:t>
      </w:r>
      <w:r w:rsidR="00D710B4" w:rsidRPr="00D44766">
        <w:rPr>
          <w:lang w:val="en-GB"/>
        </w:rPr>
        <w:t xml:space="preserve"> by the one who sold it. </w:t>
      </w:r>
    </w:p>
    <w:p w14:paraId="3C21A093" w14:textId="24F22E4F" w:rsidR="00D710B4" w:rsidRPr="00D44766" w:rsidRDefault="00D710B4" w:rsidP="002E26E0">
      <w:pPr>
        <w:contextualSpacing/>
        <w:rPr>
          <w:lang w:val="en-GB"/>
        </w:rPr>
      </w:pPr>
      <w:r w:rsidRPr="00D44766">
        <w:rPr>
          <w:lang w:val="en-GB"/>
        </w:rPr>
        <w:t>T</w:t>
      </w:r>
      <w:r w:rsidR="00C07BF8" w:rsidRPr="00D44766">
        <w:rPr>
          <w:lang w:val="en-GB"/>
        </w:rPr>
        <w:t xml:space="preserve">he tourism product as such is </w:t>
      </w:r>
      <w:r w:rsidR="00C07BF8" w:rsidRPr="00D44766">
        <w:rPr>
          <w:highlight w:val="yellow"/>
          <w:lang w:val="en-GB"/>
        </w:rPr>
        <w:t>not storable</w:t>
      </w:r>
      <w:r w:rsidR="00C07BF8" w:rsidRPr="00D44766">
        <w:rPr>
          <w:lang w:val="en-GB"/>
        </w:rPr>
        <w:t xml:space="preserve"> </w:t>
      </w:r>
      <w:r w:rsidR="006F1B5A" w:rsidRPr="00D44766">
        <w:rPr>
          <w:lang w:val="en-GB"/>
        </w:rPr>
        <w:t>(</w:t>
      </w:r>
      <w:r w:rsidR="006F1B5A" w:rsidRPr="00890F7B">
        <w:rPr>
          <w:color w:val="00B050"/>
          <w:lang w:val="en-GB"/>
        </w:rPr>
        <w:t>Kataya, 2021</w:t>
      </w:r>
      <w:r w:rsidR="00F01C8E">
        <w:rPr>
          <w:lang w:val="en-GB"/>
        </w:rPr>
        <w:t>).</w:t>
      </w:r>
      <w:r w:rsidR="00C07BF8" w:rsidRPr="00D44766">
        <w:rPr>
          <w:lang w:val="en-GB"/>
        </w:rPr>
        <w:t xml:space="preserve"> </w:t>
      </w:r>
      <w:r w:rsidR="00F01C8E">
        <w:rPr>
          <w:lang w:val="en-GB"/>
        </w:rPr>
        <w:t>A</w:t>
      </w:r>
      <w:r w:rsidR="00C07BF8" w:rsidRPr="00D44766">
        <w:rPr>
          <w:lang w:val="en-GB"/>
        </w:rPr>
        <w:t xml:space="preserve"> bed night that is not sold cannot</w:t>
      </w:r>
      <w:r w:rsidR="00F01C8E">
        <w:rPr>
          <w:lang w:val="en-GB"/>
        </w:rPr>
        <w:t xml:space="preserve"> be stored to</w:t>
      </w:r>
      <w:r w:rsidR="00C07BF8" w:rsidRPr="00D44766">
        <w:rPr>
          <w:lang w:val="en-GB"/>
        </w:rPr>
        <w:t xml:space="preserve"> be sold the following night</w:t>
      </w:r>
      <w:r w:rsidRPr="00D44766">
        <w:rPr>
          <w:lang w:val="en-GB"/>
        </w:rPr>
        <w:t xml:space="preserve">. </w:t>
      </w:r>
      <w:r w:rsidR="00985469" w:rsidRPr="00D44766">
        <w:rPr>
          <w:lang w:val="en-GB"/>
        </w:rPr>
        <w:t xml:space="preserve">Especially with the </w:t>
      </w:r>
      <w:r w:rsidR="00D44766" w:rsidRPr="00D44766">
        <w:rPr>
          <w:lang w:val="en-GB"/>
        </w:rPr>
        <w:t>ever-growing</w:t>
      </w:r>
      <w:r w:rsidR="00985469" w:rsidRPr="00D44766">
        <w:rPr>
          <w:lang w:val="en-GB"/>
        </w:rPr>
        <w:t xml:space="preserve"> hotel </w:t>
      </w:r>
      <w:r w:rsidR="0025546E" w:rsidRPr="00D44766">
        <w:rPr>
          <w:lang w:val="en-GB"/>
        </w:rPr>
        <w:t>deve</w:t>
      </w:r>
      <w:r w:rsidR="0025546E">
        <w:rPr>
          <w:lang w:val="en-GB"/>
        </w:rPr>
        <w:t xml:space="preserve"> </w:t>
      </w:r>
      <w:r w:rsidR="0025546E">
        <w:rPr>
          <w:lang w:val="en-GB"/>
        </w:rPr>
        <w:lastRenderedPageBreak/>
        <w:t>l</w:t>
      </w:r>
      <w:r w:rsidR="0025546E" w:rsidRPr="00D44766">
        <w:rPr>
          <w:lang w:val="en-GB"/>
        </w:rPr>
        <w:t>opments</w:t>
      </w:r>
      <w:r w:rsidR="00985469" w:rsidRPr="00D44766">
        <w:rPr>
          <w:lang w:val="en-GB"/>
        </w:rPr>
        <w:t xml:space="preserve"> in many </w:t>
      </w:r>
      <w:r w:rsidR="00A2358C" w:rsidRPr="00D44766">
        <w:rPr>
          <w:lang w:val="en-GB"/>
        </w:rPr>
        <w:t>destinations’</w:t>
      </w:r>
      <w:r w:rsidR="00985469" w:rsidRPr="00D44766">
        <w:rPr>
          <w:lang w:val="en-GB"/>
        </w:rPr>
        <w:t xml:space="preserve"> over-capacity </w:t>
      </w:r>
      <w:r w:rsidR="00F01C8E">
        <w:rPr>
          <w:lang w:val="en-GB"/>
        </w:rPr>
        <w:t xml:space="preserve">of rooms </w:t>
      </w:r>
      <w:r w:rsidR="00985469" w:rsidRPr="00D44766">
        <w:rPr>
          <w:lang w:val="en-GB"/>
        </w:rPr>
        <w:t>becomes an issue and with that</w:t>
      </w:r>
      <w:r w:rsidR="00F01C8E">
        <w:rPr>
          <w:lang w:val="en-GB"/>
        </w:rPr>
        <w:t>,</w:t>
      </w:r>
      <w:r w:rsidR="00985469" w:rsidRPr="00D44766">
        <w:rPr>
          <w:lang w:val="en-GB"/>
        </w:rPr>
        <w:t xml:space="preserve"> prices usually start spiralling down.</w:t>
      </w:r>
      <w:r w:rsidR="00C07BF8" w:rsidRPr="00D44766">
        <w:rPr>
          <w:lang w:val="en-GB"/>
        </w:rPr>
        <w:t xml:space="preserve"> </w:t>
      </w:r>
    </w:p>
    <w:p w14:paraId="18283AA1" w14:textId="44D43BB3" w:rsidR="00807BCC" w:rsidRPr="00D44766" w:rsidRDefault="0025546E" w:rsidP="002E26E0">
      <w:pPr>
        <w:contextualSpacing/>
        <w:rPr>
          <w:lang w:val="en-GB"/>
        </w:rPr>
      </w:pPr>
      <w:r>
        <w:rPr>
          <w:lang w:val="en-GB"/>
        </w:rPr>
        <w:t>Other</w:t>
      </w:r>
      <w:r w:rsidR="00C07BF8" w:rsidRPr="00D44766">
        <w:rPr>
          <w:lang w:val="en-GB"/>
        </w:rPr>
        <w:t xml:space="preserve"> major influencing factor</w:t>
      </w:r>
      <w:r>
        <w:rPr>
          <w:lang w:val="en-GB"/>
        </w:rPr>
        <w:t>s</w:t>
      </w:r>
      <w:r w:rsidR="00C07BF8" w:rsidRPr="00D44766">
        <w:rPr>
          <w:lang w:val="en-GB"/>
        </w:rPr>
        <w:t xml:space="preserve"> are </w:t>
      </w:r>
      <w:r w:rsidR="00C07BF8" w:rsidRPr="00D44766">
        <w:rPr>
          <w:highlight w:val="yellow"/>
          <w:lang w:val="en-GB"/>
        </w:rPr>
        <w:t>seasonality and trends</w:t>
      </w:r>
      <w:r w:rsidR="00C07BF8" w:rsidRPr="00D44766">
        <w:rPr>
          <w:lang w:val="en-GB"/>
        </w:rPr>
        <w:t xml:space="preserve"> – destinations are subject to strong seasonality flows of tourist a</w:t>
      </w:r>
      <w:r>
        <w:rPr>
          <w:lang w:val="en-GB"/>
        </w:rPr>
        <w:t>s</w:t>
      </w:r>
      <w:r w:rsidR="00D710B4" w:rsidRPr="00D44766">
        <w:rPr>
          <w:lang w:val="en-GB"/>
        </w:rPr>
        <w:t xml:space="preserve"> well as </w:t>
      </w:r>
      <w:r w:rsidR="00C07BF8" w:rsidRPr="00D44766">
        <w:rPr>
          <w:lang w:val="en-GB"/>
        </w:rPr>
        <w:t>subject to trends</w:t>
      </w:r>
      <w:r w:rsidR="00AC694D">
        <w:rPr>
          <w:lang w:val="en-GB"/>
        </w:rPr>
        <w:t xml:space="preserve">. With seasonality </w:t>
      </w:r>
      <w:r>
        <w:rPr>
          <w:lang w:val="en-GB"/>
        </w:rPr>
        <w:t>a</w:t>
      </w:r>
      <w:r w:rsidR="00985469" w:rsidRPr="00D44766">
        <w:rPr>
          <w:lang w:val="en-GB"/>
        </w:rPr>
        <w:t xml:space="preserve"> </w:t>
      </w:r>
      <w:r w:rsidR="00C07BF8" w:rsidRPr="00D44766">
        <w:rPr>
          <w:lang w:val="en-GB"/>
        </w:rPr>
        <w:t>destination</w:t>
      </w:r>
      <w:r w:rsidR="00D710B4" w:rsidRPr="00D44766">
        <w:rPr>
          <w:lang w:val="en-GB"/>
        </w:rPr>
        <w:t xml:space="preserve"> </w:t>
      </w:r>
      <w:r w:rsidR="00C07BF8" w:rsidRPr="00D44766">
        <w:rPr>
          <w:lang w:val="en-GB"/>
        </w:rPr>
        <w:t>experience</w:t>
      </w:r>
      <w:r w:rsidR="00985469" w:rsidRPr="00D44766">
        <w:rPr>
          <w:lang w:val="en-GB"/>
        </w:rPr>
        <w:t>s</w:t>
      </w:r>
      <w:r w:rsidR="00C07BF8" w:rsidRPr="00D44766">
        <w:rPr>
          <w:lang w:val="en-GB"/>
        </w:rPr>
        <w:t xml:space="preserve"> a high number of tourist arrivals</w:t>
      </w:r>
      <w:r w:rsidR="00392453" w:rsidRPr="00D44766">
        <w:rPr>
          <w:lang w:val="en-GB"/>
        </w:rPr>
        <w:t xml:space="preserve"> for a certain </w:t>
      </w:r>
      <w:r w:rsidR="00AC694D">
        <w:rPr>
          <w:lang w:val="en-GB"/>
        </w:rPr>
        <w:t xml:space="preserve">to some extent predictable </w:t>
      </w:r>
      <w:r w:rsidR="00392453" w:rsidRPr="00D44766">
        <w:rPr>
          <w:lang w:val="en-GB"/>
        </w:rPr>
        <w:t>period of time before the tourism flow diverts to other destinations</w:t>
      </w:r>
      <w:r w:rsidR="00AC694D">
        <w:rPr>
          <w:lang w:val="en-GB"/>
        </w:rPr>
        <w:t xml:space="preserve"> before tourists come back the following high-season again. In times of high demand seasons certain regions are heavily booked and tourism infrastructure is at full capacity. In times of shoulder and low-season though, parts of the tourism capacity are unused. Beside seasonality, destinations also underlie trends. I</w:t>
      </w:r>
      <w:r w:rsidR="00985469" w:rsidRPr="00D44766">
        <w:rPr>
          <w:lang w:val="en-GB"/>
        </w:rPr>
        <w:t xml:space="preserve">n the time of strong demand periods, tourism infrastructure is being </w:t>
      </w:r>
      <w:r w:rsidR="00AC694D">
        <w:rPr>
          <w:lang w:val="en-GB"/>
        </w:rPr>
        <w:t xml:space="preserve">developed to accommodate tourism flows, </w:t>
      </w:r>
      <w:r w:rsidR="00985469" w:rsidRPr="00D44766">
        <w:rPr>
          <w:lang w:val="en-GB"/>
        </w:rPr>
        <w:t>which is deserted after the tourist</w:t>
      </w:r>
      <w:r w:rsidR="00AC694D">
        <w:rPr>
          <w:lang w:val="en-GB"/>
        </w:rPr>
        <w:t>s</w:t>
      </w:r>
      <w:r w:rsidR="00985469" w:rsidRPr="00D44766">
        <w:rPr>
          <w:lang w:val="en-GB"/>
        </w:rPr>
        <w:t xml:space="preserve"> left – either for the season only or </w:t>
      </w:r>
      <w:r w:rsidR="009A543F" w:rsidRPr="00D44766">
        <w:rPr>
          <w:lang w:val="en-GB"/>
        </w:rPr>
        <w:t xml:space="preserve">because the destination is not “trendy” anymore. </w:t>
      </w:r>
      <w:r w:rsidR="00D710B4" w:rsidRPr="00D44766">
        <w:rPr>
          <w:lang w:val="en-GB"/>
        </w:rPr>
        <w:t>A</w:t>
      </w:r>
      <w:r w:rsidR="00AC694D">
        <w:rPr>
          <w:lang w:val="en-GB"/>
        </w:rPr>
        <w:t xml:space="preserve"> once developed </w:t>
      </w:r>
      <w:r w:rsidR="00D710B4" w:rsidRPr="00D44766">
        <w:rPr>
          <w:lang w:val="en-GB"/>
        </w:rPr>
        <w:t>tourism infrastructure cannot easily be deconstructed or converted into different purpose-infrastructur</w:t>
      </w:r>
      <w:r w:rsidR="009D17F8">
        <w:rPr>
          <w:lang w:val="en-GB"/>
        </w:rPr>
        <w:t>e, for example into</w:t>
      </w:r>
      <w:r w:rsidR="00D710B4" w:rsidRPr="00D44766">
        <w:rPr>
          <w:lang w:val="en-GB"/>
        </w:rPr>
        <w:t xml:space="preserve"> apartments for locals, which can lead to hotel ruins, abandoned stores and shops and entirely deserted regions which have only catered for tourism demand. </w:t>
      </w:r>
    </w:p>
    <w:p w14:paraId="41AD7D29" w14:textId="3685216B" w:rsidR="001E35B1" w:rsidRPr="00D44766" w:rsidRDefault="001E35B1" w:rsidP="002E26E0">
      <w:pPr>
        <w:contextualSpacing/>
        <w:rPr>
          <w:lang w:val="en-GB"/>
        </w:rPr>
      </w:pPr>
      <w:r w:rsidRPr="00D44766">
        <w:rPr>
          <w:lang w:val="en-GB"/>
        </w:rPr>
        <w:t xml:space="preserve">A major part of the tourism experience is the local host environment and culture. Within this context </w:t>
      </w:r>
      <w:r w:rsidR="009A543F" w:rsidRPr="00D44766">
        <w:rPr>
          <w:lang w:val="en-GB"/>
        </w:rPr>
        <w:t xml:space="preserve">and </w:t>
      </w:r>
      <w:r w:rsidR="00AA538D" w:rsidRPr="00D44766">
        <w:rPr>
          <w:lang w:val="en-GB"/>
        </w:rPr>
        <w:t>environment,</w:t>
      </w:r>
      <w:r w:rsidR="009A543F" w:rsidRPr="00D44766">
        <w:rPr>
          <w:lang w:val="en-GB"/>
        </w:rPr>
        <w:t xml:space="preserve"> </w:t>
      </w:r>
      <w:r w:rsidRPr="00D44766">
        <w:rPr>
          <w:lang w:val="en-GB"/>
        </w:rPr>
        <w:t>the tourism product is delivered</w:t>
      </w:r>
      <w:r w:rsidR="009D17F8">
        <w:rPr>
          <w:lang w:val="en-GB"/>
        </w:rPr>
        <w:t>. H</w:t>
      </w:r>
      <w:r w:rsidRPr="00D44766">
        <w:rPr>
          <w:lang w:val="en-GB"/>
        </w:rPr>
        <w:t xml:space="preserve">owever, that is also where major problems can occur – if the very core of the tourism experience is diminished through </w:t>
      </w:r>
      <w:r w:rsidR="008B4CD5">
        <w:rPr>
          <w:lang w:val="en-GB"/>
        </w:rPr>
        <w:t xml:space="preserve">excessive </w:t>
      </w:r>
      <w:r w:rsidRPr="00D44766">
        <w:rPr>
          <w:lang w:val="en-GB"/>
        </w:rPr>
        <w:t>tourism</w:t>
      </w:r>
      <w:r w:rsidR="008B4CD5">
        <w:rPr>
          <w:lang w:val="en-GB"/>
        </w:rPr>
        <w:t xml:space="preserve"> flows</w:t>
      </w:r>
      <w:r w:rsidR="009A543F" w:rsidRPr="00D44766">
        <w:rPr>
          <w:lang w:val="en-GB"/>
        </w:rPr>
        <w:t xml:space="preserve"> and careless tourism development</w:t>
      </w:r>
      <w:r w:rsidRPr="00D44766">
        <w:rPr>
          <w:lang w:val="en-GB"/>
        </w:rPr>
        <w:t xml:space="preserve"> the destination will lose its attractiveness for future tourists and tourism flows will </w:t>
      </w:r>
      <w:r w:rsidR="009D17F8">
        <w:rPr>
          <w:lang w:val="en-GB"/>
        </w:rPr>
        <w:t xml:space="preserve">divert and </w:t>
      </w:r>
      <w:r w:rsidRPr="00D44766">
        <w:rPr>
          <w:lang w:val="en-GB"/>
        </w:rPr>
        <w:t>find new</w:t>
      </w:r>
      <w:r w:rsidR="009A543F" w:rsidRPr="00D44766">
        <w:rPr>
          <w:lang w:val="en-GB"/>
        </w:rPr>
        <w:t xml:space="preserve">, </w:t>
      </w:r>
      <w:r w:rsidR="00DD6866" w:rsidRPr="00D44766">
        <w:rPr>
          <w:lang w:val="en-GB"/>
        </w:rPr>
        <w:t xml:space="preserve">more </w:t>
      </w:r>
      <w:r w:rsidRPr="00D44766">
        <w:rPr>
          <w:lang w:val="en-GB"/>
        </w:rPr>
        <w:t>attractive</w:t>
      </w:r>
      <w:r w:rsidR="00DD6866" w:rsidRPr="00D44766">
        <w:rPr>
          <w:lang w:val="en-GB"/>
        </w:rPr>
        <w:t xml:space="preserve"> and seemingly intact</w:t>
      </w:r>
      <w:r w:rsidRPr="00D44766">
        <w:rPr>
          <w:lang w:val="en-GB"/>
        </w:rPr>
        <w:t xml:space="preserve"> destinations.</w:t>
      </w:r>
      <w:r w:rsidR="009E17CD" w:rsidRPr="00D44766">
        <w:rPr>
          <w:lang w:val="en-GB"/>
        </w:rPr>
        <w:t xml:space="preserve"> This aspect will further be highlighted and discussed in the proceeding chapters of CSR. </w:t>
      </w:r>
      <w:r w:rsidR="00EA1482" w:rsidRPr="00D44766">
        <w:rPr>
          <w:lang w:val="en-GB"/>
        </w:rPr>
        <w:t xml:space="preserve">Local governments with their respective tourist boards </w:t>
      </w:r>
      <w:r w:rsidR="00ED110C" w:rsidRPr="00D44766">
        <w:rPr>
          <w:lang w:val="en-GB"/>
        </w:rPr>
        <w:t>d</w:t>
      </w:r>
      <w:r w:rsidR="00EA1482" w:rsidRPr="00D44766">
        <w:rPr>
          <w:lang w:val="en-GB"/>
        </w:rPr>
        <w:t xml:space="preserve">o play </w:t>
      </w:r>
      <w:r w:rsidR="00D44766" w:rsidRPr="00D44766">
        <w:rPr>
          <w:lang w:val="en-GB"/>
        </w:rPr>
        <w:t>a key role</w:t>
      </w:r>
      <w:r w:rsidR="00EA1482" w:rsidRPr="00D44766">
        <w:rPr>
          <w:lang w:val="en-GB"/>
        </w:rPr>
        <w:t xml:space="preserve"> in the development of the destination as well as funding and promoting travel to the destination – and with that they can also decide which audience to target and are thus </w:t>
      </w:r>
      <w:r w:rsidR="00ED110C" w:rsidRPr="00D44766">
        <w:rPr>
          <w:lang w:val="en-GB"/>
        </w:rPr>
        <w:t xml:space="preserve">also </w:t>
      </w:r>
      <w:r w:rsidR="00EA1482" w:rsidRPr="00D44766">
        <w:rPr>
          <w:lang w:val="en-GB"/>
        </w:rPr>
        <w:t>part of the</w:t>
      </w:r>
      <w:r w:rsidR="00ED110C" w:rsidRPr="00D44766">
        <w:rPr>
          <w:lang w:val="en-GB"/>
        </w:rPr>
        <w:t xml:space="preserve"> greater</w:t>
      </w:r>
      <w:r w:rsidR="00EA1482" w:rsidRPr="00D44766">
        <w:rPr>
          <w:lang w:val="en-GB"/>
        </w:rPr>
        <w:t xml:space="preserve"> tourism system which is being explained in the following paragraphs. </w:t>
      </w:r>
    </w:p>
    <w:p w14:paraId="7A097F6E" w14:textId="0662B42F" w:rsidR="00E84308" w:rsidRDefault="00E936B3" w:rsidP="00CF4446">
      <w:pPr>
        <w:contextualSpacing/>
        <w:rPr>
          <w:lang w:val="en-GB"/>
        </w:rPr>
      </w:pPr>
      <w:r w:rsidRPr="00D44766">
        <w:rPr>
          <w:lang w:val="en-GB"/>
        </w:rPr>
        <w:t xml:space="preserve">The tourism system is made up of </w:t>
      </w:r>
      <w:r w:rsidR="009E17CD" w:rsidRPr="00D44766">
        <w:rPr>
          <w:lang w:val="en-GB"/>
        </w:rPr>
        <w:t>a network of various independent but also dependent service providers</w:t>
      </w:r>
      <w:r w:rsidR="00EA1482" w:rsidRPr="00D44766">
        <w:rPr>
          <w:lang w:val="en-GB"/>
        </w:rPr>
        <w:t xml:space="preserve"> as often one service would not be requested without the other</w:t>
      </w:r>
      <w:r w:rsidR="009E17CD" w:rsidRPr="00D44766">
        <w:rPr>
          <w:lang w:val="en-GB"/>
        </w:rPr>
        <w:t>. These individual services are usually bundled together into a package</w:t>
      </w:r>
      <w:r w:rsidR="00CF4446" w:rsidRPr="00D44766">
        <w:rPr>
          <w:lang w:val="en-GB"/>
        </w:rPr>
        <w:t xml:space="preserve"> which </w:t>
      </w:r>
      <w:r w:rsidR="00BB29F6">
        <w:rPr>
          <w:lang w:val="en-GB"/>
        </w:rPr>
        <w:t>make up</w:t>
      </w:r>
      <w:r w:rsidR="00CF4446" w:rsidRPr="00D44766">
        <w:rPr>
          <w:lang w:val="en-GB"/>
        </w:rPr>
        <w:t xml:space="preserve"> </w:t>
      </w:r>
      <w:r w:rsidR="009E17CD" w:rsidRPr="00D44766">
        <w:rPr>
          <w:lang w:val="en-GB"/>
        </w:rPr>
        <w:t>the</w:t>
      </w:r>
      <w:r w:rsidR="00CF4446" w:rsidRPr="00D44766">
        <w:rPr>
          <w:lang w:val="en-GB"/>
        </w:rPr>
        <w:t xml:space="preserve"> overall</w:t>
      </w:r>
      <w:r w:rsidR="009E17CD" w:rsidRPr="00D44766">
        <w:rPr>
          <w:lang w:val="en-GB"/>
        </w:rPr>
        <w:t xml:space="preserve"> tourism product </w:t>
      </w:r>
      <w:r w:rsidR="000C7247" w:rsidRPr="00D44766">
        <w:rPr>
          <w:lang w:val="en-GB"/>
        </w:rPr>
        <w:t>(</w:t>
      </w:r>
      <w:r w:rsidR="00D44766" w:rsidRPr="00D44766">
        <w:rPr>
          <w:lang w:val="en-GB"/>
        </w:rPr>
        <w:t>e.g.,</w:t>
      </w:r>
      <w:r w:rsidR="000C7247" w:rsidRPr="00D44766">
        <w:rPr>
          <w:lang w:val="en-GB"/>
        </w:rPr>
        <w:t xml:space="preserve"> </w:t>
      </w:r>
      <w:r w:rsidR="000C7247" w:rsidRPr="00890F7B">
        <w:rPr>
          <w:color w:val="00B050"/>
          <w:lang w:val="en-GB"/>
        </w:rPr>
        <w:t>Camilleri, 2018</w:t>
      </w:r>
      <w:r w:rsidR="000C7247" w:rsidRPr="00D44766">
        <w:rPr>
          <w:lang w:val="en-GB"/>
        </w:rPr>
        <w:t xml:space="preserve">; </w:t>
      </w:r>
      <w:r w:rsidR="000C7247" w:rsidRPr="00890F7B">
        <w:rPr>
          <w:color w:val="00B050"/>
          <w:lang w:val="en-GB"/>
        </w:rPr>
        <w:t>Kataya, 2021; Soratana</w:t>
      </w:r>
      <w:r w:rsidR="00474ECE">
        <w:rPr>
          <w:color w:val="00B050"/>
          <w:lang w:val="en-GB"/>
        </w:rPr>
        <w:t>, Landis, Jing and Suto</w:t>
      </w:r>
      <w:r w:rsidR="000C7247" w:rsidRPr="00890F7B">
        <w:rPr>
          <w:color w:val="00B050"/>
          <w:lang w:val="en-GB"/>
        </w:rPr>
        <w:t>, 2021</w:t>
      </w:r>
      <w:r w:rsidR="000C7247" w:rsidRPr="00D44766">
        <w:rPr>
          <w:lang w:val="en-GB"/>
        </w:rPr>
        <w:t>). The business</w:t>
      </w:r>
      <w:r w:rsidR="00CF4446" w:rsidRPr="00D44766">
        <w:rPr>
          <w:lang w:val="en-GB"/>
        </w:rPr>
        <w:t>es</w:t>
      </w:r>
      <w:r w:rsidR="000C7247" w:rsidRPr="00D44766">
        <w:rPr>
          <w:lang w:val="en-GB"/>
        </w:rPr>
        <w:t xml:space="preserve"> entailed in the tourism system are amongst others tour operators (TOs), travel agencies (TAs), destination management companies (DMCs), accommodations, restaurants, transport providers (for the actual tourists as well as for goods) and countless supportive business</w:t>
      </w:r>
      <w:r w:rsidR="009D17F8">
        <w:rPr>
          <w:lang w:val="en-GB"/>
        </w:rPr>
        <w:t>es</w:t>
      </w:r>
      <w:r w:rsidR="000C7247" w:rsidRPr="00D44766">
        <w:rPr>
          <w:lang w:val="en-GB"/>
        </w:rPr>
        <w:t xml:space="preserve"> without whom the industry would not function (</w:t>
      </w:r>
      <w:r w:rsidR="000C7247" w:rsidRPr="00890F7B">
        <w:rPr>
          <w:color w:val="00B050"/>
          <w:lang w:val="en-GB"/>
        </w:rPr>
        <w:t>Zhang</w:t>
      </w:r>
      <w:r w:rsidR="00890F7B" w:rsidRPr="00890F7B">
        <w:rPr>
          <w:color w:val="00B050"/>
          <w:lang w:val="en-GB"/>
        </w:rPr>
        <w:t>, Song and Huang</w:t>
      </w:r>
      <w:r w:rsidR="000C7247" w:rsidRPr="00890F7B">
        <w:rPr>
          <w:color w:val="00B050"/>
          <w:lang w:val="en-GB"/>
        </w:rPr>
        <w:t>., 2009</w:t>
      </w:r>
      <w:r w:rsidR="000C7247" w:rsidRPr="00D44766">
        <w:rPr>
          <w:lang w:val="en-GB"/>
        </w:rPr>
        <w:t xml:space="preserve">). </w:t>
      </w:r>
    </w:p>
    <w:p w14:paraId="2BBC53B5" w14:textId="67DE5384" w:rsidR="00E936B3" w:rsidRPr="00D44766" w:rsidRDefault="000C7247" w:rsidP="00CF4446">
      <w:pPr>
        <w:contextualSpacing/>
        <w:rPr>
          <w:lang w:val="en-GB"/>
        </w:rPr>
      </w:pPr>
      <w:r w:rsidRPr="00D44766">
        <w:rPr>
          <w:lang w:val="en-GB"/>
        </w:rPr>
        <w:lastRenderedPageBreak/>
        <w:t xml:space="preserve">As there are countless interdependences within the system </w:t>
      </w:r>
      <w:r w:rsidRPr="009A0FFF">
        <w:rPr>
          <w:color w:val="00B050"/>
          <w:lang w:val="en-GB"/>
        </w:rPr>
        <w:t>Kasp</w:t>
      </w:r>
      <w:r w:rsidR="00273693">
        <w:rPr>
          <w:color w:val="00B050"/>
          <w:lang w:val="en-GB"/>
        </w:rPr>
        <w:t>a</w:t>
      </w:r>
      <w:r w:rsidRPr="009A0FFF">
        <w:rPr>
          <w:color w:val="00B050"/>
          <w:lang w:val="en-GB"/>
        </w:rPr>
        <w:t>r (1998</w:t>
      </w:r>
      <w:r w:rsidRPr="00D44766">
        <w:rPr>
          <w:lang w:val="en-GB"/>
        </w:rPr>
        <w:t xml:space="preserve">) suggests </w:t>
      </w:r>
      <w:r w:rsidR="00D44766" w:rsidRPr="00D44766">
        <w:rPr>
          <w:lang w:val="en-GB"/>
        </w:rPr>
        <w:t>taking</w:t>
      </w:r>
      <w:r w:rsidRPr="00D44766">
        <w:rPr>
          <w:lang w:val="en-GB"/>
        </w:rPr>
        <w:t xml:space="preserve"> a systematic view to display the complex tourism system. </w:t>
      </w:r>
      <w:r w:rsidR="000C4B28" w:rsidRPr="009A0FFF">
        <w:rPr>
          <w:color w:val="00B050"/>
          <w:lang w:val="en-GB"/>
        </w:rPr>
        <w:t>Pompl (199</w:t>
      </w:r>
      <w:r w:rsidR="00E84308" w:rsidRPr="009A0FFF">
        <w:rPr>
          <w:color w:val="00B050"/>
          <w:lang w:val="en-GB"/>
        </w:rPr>
        <w:t>7</w:t>
      </w:r>
      <w:r w:rsidR="000C4B28" w:rsidRPr="00D44766">
        <w:rPr>
          <w:lang w:val="en-GB"/>
        </w:rPr>
        <w:t>) offers a microanalytical approach</w:t>
      </w:r>
      <w:r w:rsidR="00562BD9">
        <w:rPr>
          <w:lang w:val="en-GB"/>
        </w:rPr>
        <w:t xml:space="preserve"> which is displayed below:</w:t>
      </w:r>
      <w:r w:rsidR="00E84308">
        <w:rPr>
          <w:lang w:val="en-GB"/>
        </w:rPr>
        <w:t xml:space="preserve"> </w:t>
      </w:r>
    </w:p>
    <w:p w14:paraId="7935B8C7" w14:textId="23D06D69" w:rsidR="00E84308" w:rsidRDefault="00766600" w:rsidP="00E84308">
      <w:pPr>
        <w:keepNext/>
        <w:ind w:firstLine="0"/>
        <w:contextualSpacing/>
        <w:jc w:val="center"/>
      </w:pPr>
      <w:r>
        <w:rPr>
          <w:noProof/>
        </w:rPr>
        <w:drawing>
          <wp:inline distT="0" distB="0" distL="0" distR="0" wp14:anchorId="0E022AA4" wp14:editId="1D1379C3">
            <wp:extent cx="5161422" cy="5134264"/>
            <wp:effectExtent l="0" t="0" r="0" b="0"/>
            <wp:docPr id="701921770" name="Grafik 1" descr="Ein Bild, das Text, Diagramm,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21770" name="Grafik 1" descr="Ein Bild, das Text, Diagramm, Screenshot, Schrift enthält.&#10;&#10;Automatisch generierte Beschreibung"/>
                    <pic:cNvPicPr/>
                  </pic:nvPicPr>
                  <pic:blipFill rotWithShape="1">
                    <a:blip r:embed="rId14" cstate="print">
                      <a:extLst>
                        <a:ext uri="{28A0092B-C50C-407E-A947-70E740481C1C}">
                          <a14:useLocalDpi xmlns:a14="http://schemas.microsoft.com/office/drawing/2010/main" val="0"/>
                        </a:ext>
                      </a:extLst>
                    </a:blip>
                    <a:srcRect l="20172" r="23280"/>
                    <a:stretch/>
                  </pic:blipFill>
                  <pic:spPr bwMode="auto">
                    <a:xfrm>
                      <a:off x="0" y="0"/>
                      <a:ext cx="5209749" cy="5182337"/>
                    </a:xfrm>
                    <a:prstGeom prst="rect">
                      <a:avLst/>
                    </a:prstGeom>
                    <a:ln>
                      <a:noFill/>
                    </a:ln>
                    <a:extLst>
                      <a:ext uri="{53640926-AAD7-44D8-BBD7-CCE9431645EC}">
                        <a14:shadowObscured xmlns:a14="http://schemas.microsoft.com/office/drawing/2010/main"/>
                      </a:ext>
                    </a:extLst>
                  </pic:spPr>
                </pic:pic>
              </a:graphicData>
            </a:graphic>
          </wp:inline>
        </w:drawing>
      </w:r>
    </w:p>
    <w:p w14:paraId="4617B3E3" w14:textId="61CF6F74" w:rsidR="00766600" w:rsidRDefault="00E84308" w:rsidP="00766600">
      <w:pPr>
        <w:pStyle w:val="Beschriftung"/>
        <w:jc w:val="center"/>
        <w:rPr>
          <w:lang w:val="en-GB"/>
        </w:rPr>
      </w:pPr>
      <w:bookmarkStart w:id="16" w:name="_Toc143360810"/>
      <w:bookmarkStart w:id="17" w:name="_Toc143360942"/>
      <w:bookmarkStart w:id="18" w:name="_Toc143361079"/>
      <w:r w:rsidRPr="00E84308">
        <w:rPr>
          <w:lang w:val="en-GB"/>
        </w:rPr>
        <w:t xml:space="preserve">Figure </w:t>
      </w:r>
      <w:r>
        <w:fldChar w:fldCharType="begin"/>
      </w:r>
      <w:r w:rsidRPr="00E84308">
        <w:rPr>
          <w:lang w:val="en-GB"/>
        </w:rPr>
        <w:instrText xml:space="preserve"> SEQ Figure \* ARABIC </w:instrText>
      </w:r>
      <w:r>
        <w:fldChar w:fldCharType="separate"/>
      </w:r>
      <w:r w:rsidR="00E81CC9">
        <w:rPr>
          <w:noProof/>
          <w:lang w:val="en-GB"/>
        </w:rPr>
        <w:t>3</w:t>
      </w:r>
      <w:r>
        <w:fldChar w:fldCharType="end"/>
      </w:r>
      <w:r w:rsidR="00E83F4C" w:rsidRPr="00E83F4C">
        <w:rPr>
          <w:lang w:val="en-GB"/>
        </w:rPr>
        <w:t xml:space="preserve">: </w:t>
      </w:r>
      <w:r w:rsidRPr="00E84308">
        <w:rPr>
          <w:lang w:val="en-GB"/>
        </w:rPr>
        <w:t>Tourism System after Pompl (1997)</w:t>
      </w:r>
      <w:bookmarkEnd w:id="16"/>
      <w:bookmarkEnd w:id="17"/>
      <w:bookmarkEnd w:id="18"/>
    </w:p>
    <w:p w14:paraId="1A55583A" w14:textId="606D3EF1" w:rsidR="001022D9" w:rsidRPr="00D44766" w:rsidRDefault="00562BD9" w:rsidP="000E60D0">
      <w:pPr>
        <w:contextualSpacing/>
        <w:rPr>
          <w:lang w:val="en-GB"/>
        </w:rPr>
      </w:pPr>
      <w:r>
        <w:rPr>
          <w:lang w:val="en-GB"/>
        </w:rPr>
        <w:t xml:space="preserve">In his approach </w:t>
      </w:r>
      <w:r w:rsidRPr="00766600">
        <w:rPr>
          <w:lang w:val="en-GB"/>
        </w:rPr>
        <w:t>Pompl (1997)</w:t>
      </w:r>
      <w:r w:rsidR="009A0FFF">
        <w:rPr>
          <w:lang w:val="en-GB"/>
        </w:rPr>
        <w:t xml:space="preserve"> </w:t>
      </w:r>
      <w:r>
        <w:rPr>
          <w:lang w:val="en-GB"/>
        </w:rPr>
        <w:t>puts the TOs, T</w:t>
      </w:r>
      <w:r w:rsidR="00766600">
        <w:rPr>
          <w:lang w:val="en-GB"/>
        </w:rPr>
        <w:t>A</w:t>
      </w:r>
      <w:r>
        <w:rPr>
          <w:lang w:val="en-GB"/>
        </w:rPr>
        <w:t>s and the actual trave</w:t>
      </w:r>
      <w:r w:rsidR="00821E2B">
        <w:rPr>
          <w:lang w:val="en-GB"/>
        </w:rPr>
        <w:t>l</w:t>
      </w:r>
      <w:r>
        <w:rPr>
          <w:lang w:val="en-GB"/>
        </w:rPr>
        <w:t xml:space="preserve">ler at the core of the system which is influenced by the various systems around. </w:t>
      </w:r>
      <w:r w:rsidR="00E84308">
        <w:rPr>
          <w:lang w:val="en-GB"/>
        </w:rPr>
        <w:t>A</w:t>
      </w:r>
      <w:r w:rsidR="00764527" w:rsidRPr="00D44766">
        <w:rPr>
          <w:lang w:val="en-GB"/>
        </w:rPr>
        <w:t>ll systems are equally influenced by the various system</w:t>
      </w:r>
      <w:r w:rsidR="005A5ADE" w:rsidRPr="00D44766">
        <w:rPr>
          <w:lang w:val="en-GB"/>
        </w:rPr>
        <w:t>-</w:t>
      </w:r>
      <w:r w:rsidR="00764527" w:rsidRPr="00D44766">
        <w:rPr>
          <w:lang w:val="en-GB"/>
        </w:rPr>
        <w:t xml:space="preserve">environments which are </w:t>
      </w:r>
      <w:r w:rsidR="005A5ADE" w:rsidRPr="00D44766">
        <w:rPr>
          <w:lang w:val="en-GB"/>
        </w:rPr>
        <w:t xml:space="preserve">defined as </w:t>
      </w:r>
      <w:r w:rsidR="00764527" w:rsidRPr="00D44766">
        <w:rPr>
          <w:lang w:val="en-GB"/>
        </w:rPr>
        <w:t xml:space="preserve">the economy, society, politics and the natural environment. </w:t>
      </w:r>
      <w:r w:rsidR="002D6E83" w:rsidRPr="00D44766">
        <w:rPr>
          <w:lang w:val="en-GB"/>
        </w:rPr>
        <w:t xml:space="preserve">The </w:t>
      </w:r>
      <w:r w:rsidR="00D44766" w:rsidRPr="00D44766">
        <w:rPr>
          <w:lang w:val="en-GB"/>
        </w:rPr>
        <w:t>various categories</w:t>
      </w:r>
      <w:r w:rsidR="002D6E83" w:rsidRPr="00D44766">
        <w:rPr>
          <w:lang w:val="en-GB"/>
        </w:rPr>
        <w:t xml:space="preserve"> will be explained in the following subchapter</w:t>
      </w:r>
      <w:r w:rsidR="000E60D0">
        <w:rPr>
          <w:lang w:val="en-GB"/>
        </w:rPr>
        <w:t>s</w:t>
      </w:r>
      <w:r w:rsidR="002D6E83" w:rsidRPr="00D44766">
        <w:rPr>
          <w:lang w:val="en-GB"/>
        </w:rPr>
        <w:t xml:space="preserve">. However, as </w:t>
      </w:r>
      <w:r w:rsidR="00D44766" w:rsidRPr="00D44766">
        <w:rPr>
          <w:lang w:val="en-GB"/>
        </w:rPr>
        <w:t>this systematic schema</w:t>
      </w:r>
      <w:r w:rsidR="002D6E83" w:rsidRPr="00D44766">
        <w:rPr>
          <w:lang w:val="en-GB"/>
        </w:rPr>
        <w:t xml:space="preserve"> only gives a f</w:t>
      </w:r>
      <w:r w:rsidR="005A5ADE" w:rsidRPr="00D44766">
        <w:rPr>
          <w:lang w:val="en-GB"/>
        </w:rPr>
        <w:t>irst broader overview of the comprehensive tourism system</w:t>
      </w:r>
      <w:r w:rsidR="002D6E83" w:rsidRPr="00D44766">
        <w:rPr>
          <w:lang w:val="en-GB"/>
        </w:rPr>
        <w:t>, there is a need to l</w:t>
      </w:r>
      <w:r w:rsidR="00807BCC" w:rsidRPr="00D44766">
        <w:rPr>
          <w:lang w:val="en-GB"/>
        </w:rPr>
        <w:t>ook</w:t>
      </w:r>
      <w:r w:rsidR="002D6E83" w:rsidRPr="00D44766">
        <w:rPr>
          <w:lang w:val="en-GB"/>
        </w:rPr>
        <w:t xml:space="preserve"> </w:t>
      </w:r>
      <w:r w:rsidR="00807BCC" w:rsidRPr="00D44766">
        <w:rPr>
          <w:lang w:val="en-GB"/>
        </w:rPr>
        <w:t>deeper into the structures and interdependences of contractual obligations</w:t>
      </w:r>
      <w:r w:rsidR="00D20B27">
        <w:rPr>
          <w:lang w:val="en-GB"/>
        </w:rPr>
        <w:t xml:space="preserve"> as </w:t>
      </w:r>
      <w:r w:rsidR="00807BCC" w:rsidRPr="00D44766">
        <w:rPr>
          <w:lang w:val="en-GB"/>
        </w:rPr>
        <w:t>there are many more relationships amongst the suppliers</w:t>
      </w:r>
      <w:r w:rsidR="00BB29F6">
        <w:rPr>
          <w:lang w:val="en-GB"/>
        </w:rPr>
        <w:t xml:space="preserve"> which will be done in the coming subchapter.</w:t>
      </w:r>
    </w:p>
    <w:p w14:paraId="08A5B661" w14:textId="031B2E7B" w:rsidR="002F701F" w:rsidRPr="00560729" w:rsidRDefault="00A67409" w:rsidP="00A67409">
      <w:pPr>
        <w:pStyle w:val="berschrift2"/>
        <w:rPr>
          <w:lang w:val="en-GB"/>
        </w:rPr>
      </w:pPr>
      <w:bookmarkStart w:id="19" w:name="_Toc143330979"/>
      <w:bookmarkStart w:id="20" w:name="_Toc143361646"/>
      <w:r w:rsidRPr="00560729">
        <w:rPr>
          <w:lang w:val="en-GB"/>
        </w:rPr>
        <w:lastRenderedPageBreak/>
        <w:t xml:space="preserve">2.2.1. </w:t>
      </w:r>
      <w:r w:rsidR="002F701F" w:rsidRPr="00560729">
        <w:rPr>
          <w:lang w:val="en-GB"/>
        </w:rPr>
        <w:t>Core System: Tour Operators</w:t>
      </w:r>
      <w:r w:rsidR="00E83F4C">
        <w:rPr>
          <w:lang w:val="en-GB"/>
        </w:rPr>
        <w:t xml:space="preserve">, </w:t>
      </w:r>
      <w:r w:rsidR="002F701F" w:rsidRPr="00560729">
        <w:rPr>
          <w:lang w:val="en-GB"/>
        </w:rPr>
        <w:t>Travel Agencies</w:t>
      </w:r>
      <w:r w:rsidR="00E83F4C">
        <w:rPr>
          <w:lang w:val="en-GB"/>
        </w:rPr>
        <w:t xml:space="preserve"> and Travellers</w:t>
      </w:r>
      <w:bookmarkEnd w:id="19"/>
      <w:bookmarkEnd w:id="20"/>
    </w:p>
    <w:p w14:paraId="7E659D51" w14:textId="2D0D5EC0" w:rsidR="002F701F" w:rsidRPr="00D44766" w:rsidRDefault="002F701F" w:rsidP="002E26E0">
      <w:pPr>
        <w:contextualSpacing/>
        <w:rPr>
          <w:lang w:val="en-GB"/>
        </w:rPr>
      </w:pPr>
      <w:r w:rsidRPr="00D44766">
        <w:rPr>
          <w:lang w:val="en-GB"/>
        </w:rPr>
        <w:t xml:space="preserve">Following </w:t>
      </w:r>
      <w:r w:rsidRPr="009A0FFF">
        <w:rPr>
          <w:color w:val="00B050"/>
          <w:lang w:val="en-GB"/>
        </w:rPr>
        <w:t>Pompl</w:t>
      </w:r>
      <w:r w:rsidR="00D94A52" w:rsidRPr="009A0FFF">
        <w:rPr>
          <w:color w:val="00B050"/>
          <w:lang w:val="en-GB"/>
        </w:rPr>
        <w:t xml:space="preserve"> (199</w:t>
      </w:r>
      <w:r w:rsidR="009A0FFF" w:rsidRPr="009A0FFF">
        <w:rPr>
          <w:color w:val="00B050"/>
          <w:lang w:val="en-GB"/>
        </w:rPr>
        <w:t>7</w:t>
      </w:r>
      <w:r w:rsidR="00D94A52" w:rsidRPr="009A0FFF">
        <w:rPr>
          <w:color w:val="00B050"/>
          <w:lang w:val="en-GB"/>
        </w:rPr>
        <w:t>)</w:t>
      </w:r>
      <w:r w:rsidRPr="009A0FFF">
        <w:rPr>
          <w:color w:val="00B050"/>
          <w:lang w:val="en-GB"/>
        </w:rPr>
        <w:t>,</w:t>
      </w:r>
      <w:r w:rsidRPr="00D44766">
        <w:rPr>
          <w:lang w:val="en-GB"/>
        </w:rPr>
        <w:t xml:space="preserve"> the core of the system is defined </w:t>
      </w:r>
      <w:r w:rsidR="00D94A52" w:rsidRPr="00D44766">
        <w:rPr>
          <w:lang w:val="en-GB"/>
        </w:rPr>
        <w:t xml:space="preserve">to consist of </w:t>
      </w:r>
      <w:r w:rsidRPr="00D44766">
        <w:rPr>
          <w:lang w:val="en-GB"/>
        </w:rPr>
        <w:t>the trave</w:t>
      </w:r>
      <w:r w:rsidR="00821E2B">
        <w:rPr>
          <w:lang w:val="en-GB"/>
        </w:rPr>
        <w:t>l</w:t>
      </w:r>
      <w:r w:rsidRPr="00D44766">
        <w:rPr>
          <w:lang w:val="en-GB"/>
        </w:rPr>
        <w:t xml:space="preserve">ler him-/herself, the </w:t>
      </w:r>
      <w:r w:rsidR="002D6E83" w:rsidRPr="00D44766">
        <w:rPr>
          <w:lang w:val="en-GB"/>
        </w:rPr>
        <w:t>TOs</w:t>
      </w:r>
      <w:r w:rsidRPr="00D44766">
        <w:rPr>
          <w:lang w:val="en-GB"/>
        </w:rPr>
        <w:t xml:space="preserve"> and </w:t>
      </w:r>
      <w:r w:rsidR="002D6E83" w:rsidRPr="00D44766">
        <w:rPr>
          <w:lang w:val="en-GB"/>
        </w:rPr>
        <w:t>TAs</w:t>
      </w:r>
      <w:r w:rsidRPr="00D44766">
        <w:rPr>
          <w:lang w:val="en-GB"/>
        </w:rPr>
        <w:t>. Focusing on the stationary sales channels (</w:t>
      </w:r>
      <w:r w:rsidR="007A647D" w:rsidRPr="00D44766">
        <w:rPr>
          <w:lang w:val="en-GB"/>
        </w:rPr>
        <w:t xml:space="preserve">even though the online channels </w:t>
      </w:r>
      <w:r w:rsidR="00D44766" w:rsidRPr="00D44766">
        <w:rPr>
          <w:lang w:val="en-GB"/>
        </w:rPr>
        <w:t>do not</w:t>
      </w:r>
      <w:r w:rsidR="007A647D" w:rsidRPr="00D44766">
        <w:rPr>
          <w:lang w:val="en-GB"/>
        </w:rPr>
        <w:t xml:space="preserve"> </w:t>
      </w:r>
      <w:r w:rsidR="00D94A52" w:rsidRPr="00D44766">
        <w:rPr>
          <w:lang w:val="en-GB"/>
        </w:rPr>
        <w:t>deviate too</w:t>
      </w:r>
      <w:r w:rsidR="007A647D" w:rsidRPr="00D44766">
        <w:rPr>
          <w:lang w:val="en-GB"/>
        </w:rPr>
        <w:t xml:space="preserve"> much</w:t>
      </w:r>
      <w:r w:rsidR="00D94A52" w:rsidRPr="00D44766">
        <w:rPr>
          <w:lang w:val="en-GB"/>
        </w:rPr>
        <w:t xml:space="preserve"> in their processes</w:t>
      </w:r>
      <w:r w:rsidR="007A647D" w:rsidRPr="00D44766">
        <w:rPr>
          <w:lang w:val="en-GB"/>
        </w:rPr>
        <w:t xml:space="preserve">) </w:t>
      </w:r>
      <w:r w:rsidR="002D6E83" w:rsidRPr="00D44766">
        <w:rPr>
          <w:lang w:val="en-GB"/>
        </w:rPr>
        <w:t>TOs</w:t>
      </w:r>
      <w:r w:rsidR="007A647D" w:rsidRPr="00D44766">
        <w:rPr>
          <w:lang w:val="en-GB"/>
        </w:rPr>
        <w:t xml:space="preserve"> are responsible for buying the services from the s</w:t>
      </w:r>
      <w:r w:rsidR="008372BE">
        <w:rPr>
          <w:lang w:val="en-GB"/>
        </w:rPr>
        <w:t>ervice providers</w:t>
      </w:r>
      <w:r w:rsidR="007A647D" w:rsidRPr="00D44766">
        <w:rPr>
          <w:lang w:val="en-GB"/>
        </w:rPr>
        <w:t xml:space="preserve"> </w:t>
      </w:r>
      <w:r w:rsidR="00D94A52" w:rsidRPr="00D44766">
        <w:rPr>
          <w:lang w:val="en-GB"/>
        </w:rPr>
        <w:t xml:space="preserve">in order </w:t>
      </w:r>
      <w:r w:rsidR="007A647D" w:rsidRPr="00D44766">
        <w:rPr>
          <w:lang w:val="en-GB"/>
        </w:rPr>
        <w:t>to package them or sell the</w:t>
      </w:r>
      <w:r w:rsidR="00D94A52" w:rsidRPr="00D44766">
        <w:rPr>
          <w:lang w:val="en-GB"/>
        </w:rPr>
        <w:t>se services</w:t>
      </w:r>
      <w:r w:rsidR="007A647D" w:rsidRPr="00D44766">
        <w:rPr>
          <w:lang w:val="en-GB"/>
        </w:rPr>
        <w:t xml:space="preserve"> individually</w:t>
      </w:r>
      <w:r w:rsidR="00D94A52" w:rsidRPr="00D44766">
        <w:rPr>
          <w:lang w:val="en-GB"/>
        </w:rPr>
        <w:t xml:space="preserve"> to the trave</w:t>
      </w:r>
      <w:r w:rsidR="00821E2B">
        <w:rPr>
          <w:lang w:val="en-GB"/>
        </w:rPr>
        <w:t>l</w:t>
      </w:r>
      <w:r w:rsidR="00D94A52" w:rsidRPr="00D44766">
        <w:rPr>
          <w:lang w:val="en-GB"/>
        </w:rPr>
        <w:t>ler</w:t>
      </w:r>
      <w:r w:rsidR="008372BE">
        <w:rPr>
          <w:lang w:val="en-GB"/>
        </w:rPr>
        <w:t xml:space="preserve"> or via a TA which acts as the intermediary</w:t>
      </w:r>
      <w:r w:rsidR="007A647D" w:rsidRPr="00D44766">
        <w:rPr>
          <w:lang w:val="en-GB"/>
        </w:rPr>
        <w:t>. Within the Germanic-speaking markets there are various TO</w:t>
      </w:r>
      <w:r w:rsidR="00D94A52" w:rsidRPr="00D44766">
        <w:rPr>
          <w:lang w:val="en-GB"/>
        </w:rPr>
        <w:t>s</w:t>
      </w:r>
      <w:r w:rsidR="007A647D" w:rsidRPr="00D44766">
        <w:rPr>
          <w:lang w:val="en-GB"/>
        </w:rPr>
        <w:t xml:space="preserve"> in all sizes and with all specialities. There are the dominant more general TOs like TUI, FTI and</w:t>
      </w:r>
      <w:r w:rsidR="00821E2B">
        <w:rPr>
          <w:lang w:val="en-GB"/>
        </w:rPr>
        <w:t xml:space="preserve"> DER</w:t>
      </w:r>
      <w:r w:rsidR="007A647D" w:rsidRPr="00D44766">
        <w:rPr>
          <w:lang w:val="en-GB"/>
        </w:rPr>
        <w:t xml:space="preserve"> Touristik </w:t>
      </w:r>
      <w:r w:rsidR="008372BE">
        <w:rPr>
          <w:lang w:val="en-GB"/>
        </w:rPr>
        <w:t>and also</w:t>
      </w:r>
      <w:r w:rsidR="007A647D" w:rsidRPr="00D44766">
        <w:rPr>
          <w:lang w:val="en-GB"/>
        </w:rPr>
        <w:t xml:space="preserve"> smaller highly specialised TOs</w:t>
      </w:r>
      <w:r w:rsidR="00D94A52" w:rsidRPr="00D44766">
        <w:rPr>
          <w:lang w:val="en-GB"/>
        </w:rPr>
        <w:t xml:space="preserve"> (either focused on selected destinations or a certain type of travel product, like study</w:t>
      </w:r>
      <w:r w:rsidR="00BE6A93" w:rsidRPr="00D44766">
        <w:rPr>
          <w:lang w:val="en-GB"/>
        </w:rPr>
        <w:t>-</w:t>
      </w:r>
      <w:r w:rsidR="00D94A52" w:rsidRPr="00D44766">
        <w:rPr>
          <w:lang w:val="en-GB"/>
        </w:rPr>
        <w:t>groups</w:t>
      </w:r>
      <w:r w:rsidR="00BE6A93" w:rsidRPr="00D44766">
        <w:rPr>
          <w:lang w:val="en-GB"/>
        </w:rPr>
        <w:t xml:space="preserve">) </w:t>
      </w:r>
      <w:r w:rsidR="007A647D" w:rsidRPr="00D44766">
        <w:rPr>
          <w:lang w:val="en-GB"/>
        </w:rPr>
        <w:t xml:space="preserve">– the width of offerings is </w:t>
      </w:r>
      <w:r w:rsidR="00BE6A93" w:rsidRPr="00D44766">
        <w:rPr>
          <w:lang w:val="en-GB"/>
        </w:rPr>
        <w:t>manifold</w:t>
      </w:r>
      <w:r w:rsidR="007A647D" w:rsidRPr="00D44766">
        <w:rPr>
          <w:lang w:val="en-GB"/>
        </w:rPr>
        <w:t xml:space="preserve">. </w:t>
      </w:r>
      <w:r w:rsidR="00BE6A93" w:rsidRPr="00D44766">
        <w:rPr>
          <w:lang w:val="en-GB"/>
        </w:rPr>
        <w:t>TAs</w:t>
      </w:r>
      <w:r w:rsidR="007A647D" w:rsidRPr="00D44766">
        <w:rPr>
          <w:lang w:val="en-GB"/>
        </w:rPr>
        <w:t xml:space="preserve"> in turn, sell the pre-packaged trips or individual services to the </w:t>
      </w:r>
      <w:r w:rsidR="00D94A52" w:rsidRPr="00D44766">
        <w:rPr>
          <w:lang w:val="en-GB"/>
        </w:rPr>
        <w:t xml:space="preserve">actual </w:t>
      </w:r>
      <w:r w:rsidR="003B278F" w:rsidRPr="00D44766">
        <w:rPr>
          <w:lang w:val="en-GB"/>
        </w:rPr>
        <w:t>traveller</w:t>
      </w:r>
      <w:r w:rsidR="007A647D" w:rsidRPr="00D44766">
        <w:rPr>
          <w:lang w:val="en-GB"/>
        </w:rPr>
        <w:t xml:space="preserve">. </w:t>
      </w:r>
      <w:r w:rsidR="00F60992" w:rsidRPr="00D44766">
        <w:rPr>
          <w:lang w:val="en-GB"/>
        </w:rPr>
        <w:t>Amongst the TA, there are different models as well (belonging to one of the TOs mentioned above, franchise</w:t>
      </w:r>
      <w:r w:rsidR="00BE6A93" w:rsidRPr="00D44766">
        <w:rPr>
          <w:lang w:val="en-GB"/>
        </w:rPr>
        <w:t>d</w:t>
      </w:r>
      <w:r w:rsidR="00F60992" w:rsidRPr="00D44766">
        <w:rPr>
          <w:lang w:val="en-GB"/>
        </w:rPr>
        <w:t xml:space="preserve"> or independent</w:t>
      </w:r>
      <w:r w:rsidR="00BE6A93" w:rsidRPr="00D44766">
        <w:rPr>
          <w:lang w:val="en-GB"/>
        </w:rPr>
        <w:t>ly owned)</w:t>
      </w:r>
      <w:r w:rsidR="00F60992" w:rsidRPr="00D44766">
        <w:rPr>
          <w:lang w:val="en-GB"/>
        </w:rPr>
        <w:t xml:space="preserve">. </w:t>
      </w:r>
      <w:r w:rsidR="007A647D" w:rsidRPr="00D44766">
        <w:rPr>
          <w:lang w:val="en-GB"/>
        </w:rPr>
        <w:t>Important to notice here – in most cases</w:t>
      </w:r>
      <w:r w:rsidR="00F60992" w:rsidRPr="00D44766">
        <w:rPr>
          <w:lang w:val="en-GB"/>
        </w:rPr>
        <w:t>,</w:t>
      </w:r>
      <w:r w:rsidR="007A647D" w:rsidRPr="00D44766">
        <w:rPr>
          <w:lang w:val="en-GB"/>
        </w:rPr>
        <w:t xml:space="preserve"> TAs will only get </w:t>
      </w:r>
      <w:r w:rsidR="00F60992" w:rsidRPr="00D44766">
        <w:rPr>
          <w:lang w:val="en-GB"/>
        </w:rPr>
        <w:t xml:space="preserve">their commission payment from the TOs </w:t>
      </w:r>
      <w:r w:rsidR="007A647D" w:rsidRPr="00D44766">
        <w:rPr>
          <w:lang w:val="en-GB"/>
        </w:rPr>
        <w:t>after the clients returned from their trip.</w:t>
      </w:r>
      <w:r w:rsidR="00F60992" w:rsidRPr="00D44766">
        <w:rPr>
          <w:lang w:val="en-GB"/>
        </w:rPr>
        <w:t xml:space="preserve"> </w:t>
      </w:r>
      <w:r w:rsidR="00D94A52" w:rsidRPr="00D44766">
        <w:rPr>
          <w:lang w:val="en-GB"/>
        </w:rPr>
        <w:t xml:space="preserve">This caused a major problem during COVID-19 as travel agents did have to work over-hours to reverse all bookings but in </w:t>
      </w:r>
      <w:r w:rsidR="00D44766" w:rsidRPr="00D44766">
        <w:rPr>
          <w:lang w:val="en-GB"/>
        </w:rPr>
        <w:t>essence,</w:t>
      </w:r>
      <w:r w:rsidR="00D94A52" w:rsidRPr="00D44766">
        <w:rPr>
          <w:lang w:val="en-GB"/>
        </w:rPr>
        <w:t xml:space="preserve"> they were not being paid by the TOs as clients obviously could not trave</w:t>
      </w:r>
      <w:r w:rsidR="00766600">
        <w:rPr>
          <w:lang w:val="en-GB"/>
        </w:rPr>
        <w:t>l.</w:t>
      </w:r>
      <w:r w:rsidR="00D94A52" w:rsidRPr="00D44766">
        <w:rPr>
          <w:lang w:val="en-GB"/>
        </w:rPr>
        <w:t xml:space="preserve"> </w:t>
      </w:r>
      <w:r w:rsidR="00F60992" w:rsidRPr="00D44766">
        <w:rPr>
          <w:lang w:val="en-GB"/>
        </w:rPr>
        <w:t xml:space="preserve">The </w:t>
      </w:r>
      <w:r w:rsidR="00D94A52" w:rsidRPr="00D44766">
        <w:rPr>
          <w:lang w:val="en-GB"/>
        </w:rPr>
        <w:t xml:space="preserve">height of </w:t>
      </w:r>
      <w:r w:rsidR="00F60992" w:rsidRPr="00D44766">
        <w:rPr>
          <w:lang w:val="en-GB"/>
        </w:rPr>
        <w:t xml:space="preserve">commission does vary a) </w:t>
      </w:r>
      <w:r w:rsidR="00D94A52" w:rsidRPr="00D44766">
        <w:rPr>
          <w:lang w:val="en-GB"/>
        </w:rPr>
        <w:t>depending on the respective T</w:t>
      </w:r>
      <w:r w:rsidR="00F60992" w:rsidRPr="00D44766">
        <w:rPr>
          <w:lang w:val="en-GB"/>
        </w:rPr>
        <w:t>O</w:t>
      </w:r>
      <w:r w:rsidR="00D94A52" w:rsidRPr="00D44766">
        <w:rPr>
          <w:lang w:val="en-GB"/>
        </w:rPr>
        <w:t xml:space="preserve">, </w:t>
      </w:r>
      <w:r w:rsidR="00F60992" w:rsidRPr="00D44766">
        <w:rPr>
          <w:lang w:val="en-GB"/>
        </w:rPr>
        <w:t>and b</w:t>
      </w:r>
      <w:r w:rsidR="00EF6563" w:rsidRPr="00D44766">
        <w:rPr>
          <w:lang w:val="en-GB"/>
        </w:rPr>
        <w:t xml:space="preserve">) often includes a scaling effect from the “big” TOs trying to increase business from the </w:t>
      </w:r>
      <w:r w:rsidR="00766600">
        <w:rPr>
          <w:lang w:val="en-GB"/>
        </w:rPr>
        <w:t>TAs</w:t>
      </w:r>
      <w:r w:rsidR="00BE6A93" w:rsidRPr="00D44766">
        <w:rPr>
          <w:lang w:val="en-GB"/>
        </w:rPr>
        <w:t>. S</w:t>
      </w:r>
      <w:r w:rsidR="00D94A52" w:rsidRPr="00D44766">
        <w:rPr>
          <w:lang w:val="en-GB"/>
        </w:rPr>
        <w:t>ometime commissions can be as little as 7 percent and</w:t>
      </w:r>
      <w:r w:rsidR="00B157A4" w:rsidRPr="00D44766">
        <w:rPr>
          <w:lang w:val="en-GB"/>
        </w:rPr>
        <w:t xml:space="preserve"> seldomly cross the 12 percent border.</w:t>
      </w:r>
      <w:r w:rsidR="00EF6563" w:rsidRPr="00D44766">
        <w:rPr>
          <w:lang w:val="en-GB"/>
        </w:rPr>
        <w:t xml:space="preserve"> One of the major differences </w:t>
      </w:r>
      <w:r w:rsidR="00D94A52" w:rsidRPr="00D44766">
        <w:rPr>
          <w:lang w:val="en-GB"/>
        </w:rPr>
        <w:t xml:space="preserve">between TOs and TAs </w:t>
      </w:r>
      <w:r w:rsidR="00EF6563" w:rsidRPr="00D44766">
        <w:rPr>
          <w:lang w:val="en-GB"/>
        </w:rPr>
        <w:t xml:space="preserve">is the aspect of liability – TAs generally only </w:t>
      </w:r>
      <w:r w:rsidR="00D44766" w:rsidRPr="00D44766">
        <w:rPr>
          <w:lang w:val="en-GB"/>
        </w:rPr>
        <w:t>function as</w:t>
      </w:r>
      <w:r w:rsidR="00EF6563" w:rsidRPr="00D44766">
        <w:rPr>
          <w:lang w:val="en-GB"/>
        </w:rPr>
        <w:t xml:space="preserve"> the agent</w:t>
      </w:r>
      <w:r w:rsidR="00BE6A93" w:rsidRPr="00D44766">
        <w:rPr>
          <w:lang w:val="en-GB"/>
        </w:rPr>
        <w:t xml:space="preserve"> – as the names as such also implies – and therefore, they</w:t>
      </w:r>
      <w:r w:rsidR="00EF6563" w:rsidRPr="00D44766">
        <w:rPr>
          <w:lang w:val="en-GB"/>
        </w:rPr>
        <w:t xml:space="preserve"> cannot be held responsible if the contract is not fulfilled</w:t>
      </w:r>
      <w:r w:rsidR="00BE6A93" w:rsidRPr="00D44766">
        <w:rPr>
          <w:lang w:val="en-GB"/>
        </w:rPr>
        <w:t>.</w:t>
      </w:r>
      <w:r w:rsidR="00EF6563" w:rsidRPr="00D44766">
        <w:rPr>
          <w:lang w:val="en-GB"/>
        </w:rPr>
        <w:t xml:space="preserve"> </w:t>
      </w:r>
      <w:r w:rsidR="00D44766" w:rsidRPr="00D44766">
        <w:rPr>
          <w:lang w:val="en-GB"/>
        </w:rPr>
        <w:t>This responsibility</w:t>
      </w:r>
      <w:r w:rsidR="00EF6563" w:rsidRPr="00D44766">
        <w:rPr>
          <w:lang w:val="en-GB"/>
        </w:rPr>
        <w:t xml:space="preserve"> solely lies with the TOs</w:t>
      </w:r>
      <w:r w:rsidR="00D94A52" w:rsidRPr="00D44766">
        <w:rPr>
          <w:lang w:val="en-GB"/>
        </w:rPr>
        <w:t>, which have to reimburse clients, if there was a major fault during the trip</w:t>
      </w:r>
      <w:r w:rsidR="00BE6A93" w:rsidRPr="00D44766">
        <w:rPr>
          <w:lang w:val="en-GB"/>
        </w:rPr>
        <w:t xml:space="preserve"> and contractual obligations </w:t>
      </w:r>
      <w:r w:rsidR="00A2358C" w:rsidRPr="00D44766">
        <w:rPr>
          <w:lang w:val="en-GB"/>
        </w:rPr>
        <w:t>were not</w:t>
      </w:r>
      <w:r w:rsidR="00BE6A93" w:rsidRPr="00D44766">
        <w:rPr>
          <w:lang w:val="en-GB"/>
        </w:rPr>
        <w:t xml:space="preserve"> fulfilled. </w:t>
      </w:r>
    </w:p>
    <w:p w14:paraId="795EF4BB" w14:textId="542604F2" w:rsidR="00EF6563" w:rsidRDefault="00A67409" w:rsidP="00A67409">
      <w:pPr>
        <w:pStyle w:val="berschrift2"/>
        <w:rPr>
          <w:lang w:val="en-GB"/>
        </w:rPr>
      </w:pPr>
      <w:bookmarkStart w:id="21" w:name="_Toc143330980"/>
      <w:bookmarkStart w:id="22" w:name="_Toc143361647"/>
      <w:r w:rsidRPr="00560729">
        <w:rPr>
          <w:lang w:val="en-GB"/>
        </w:rPr>
        <w:t xml:space="preserve">2.2.2. </w:t>
      </w:r>
      <w:r w:rsidR="00EF6563" w:rsidRPr="00560729">
        <w:rPr>
          <w:lang w:val="en-GB"/>
        </w:rPr>
        <w:t>S</w:t>
      </w:r>
      <w:r w:rsidR="00666A48" w:rsidRPr="00560729">
        <w:rPr>
          <w:lang w:val="en-GB"/>
        </w:rPr>
        <w:t>ervice Providers</w:t>
      </w:r>
      <w:bookmarkEnd w:id="21"/>
      <w:bookmarkEnd w:id="22"/>
    </w:p>
    <w:p w14:paraId="0920AF86" w14:textId="5735AB8B" w:rsidR="00E81CC9" w:rsidRPr="00E81CC9" w:rsidRDefault="00E81CC9" w:rsidP="00E81CC9">
      <w:pPr>
        <w:rPr>
          <w:lang w:val="en-GB"/>
        </w:rPr>
      </w:pPr>
      <w:r w:rsidRPr="00D44766">
        <w:rPr>
          <w:lang w:val="en-GB"/>
        </w:rPr>
        <w:t xml:space="preserve">The service providers are those partners who arrange and deliver the pre-booked services in the destination. </w:t>
      </w:r>
      <w:r>
        <w:rPr>
          <w:lang w:val="en-GB"/>
        </w:rPr>
        <w:t xml:space="preserve">As above mentioned, the relationships between the individual players in the system are not included in Pompl’s schema, </w:t>
      </w:r>
      <w:r w:rsidRPr="00D44766">
        <w:rPr>
          <w:lang w:val="en-GB"/>
        </w:rPr>
        <w:t xml:space="preserve">but they are important to </w:t>
      </w:r>
      <w:r>
        <w:rPr>
          <w:lang w:val="en-GB"/>
        </w:rPr>
        <w:t xml:space="preserve">understand </w:t>
      </w:r>
      <w:r w:rsidRPr="00D44766">
        <w:rPr>
          <w:lang w:val="en-GB"/>
        </w:rPr>
        <w:t>too</w:t>
      </w:r>
      <w:r>
        <w:rPr>
          <w:lang w:val="en-GB"/>
        </w:rPr>
        <w:t>,</w:t>
      </w:r>
      <w:r w:rsidRPr="00D44766">
        <w:rPr>
          <w:lang w:val="en-GB"/>
        </w:rPr>
        <w:t xml:space="preserve"> as they can at least partly </w:t>
      </w:r>
      <w:r>
        <w:rPr>
          <w:lang w:val="en-GB"/>
        </w:rPr>
        <w:t xml:space="preserve">be </w:t>
      </w:r>
      <w:r w:rsidRPr="00D44766">
        <w:rPr>
          <w:lang w:val="en-GB"/>
        </w:rPr>
        <w:t>characterised by power imbalances and strong dependencies. This in-depth knowledge is also incremental for the later understanding and discussion in reference to CSR and the Due Diligence Act. How the system works in a very simplified way is displayed below (the author acknowledges and is fully aware that there are other ways the system works but for the scope of this work, this simplified system is sufficient</w:t>
      </w:r>
      <w:r>
        <w:rPr>
          <w:lang w:val="en-GB"/>
        </w:rPr>
        <w:t xml:space="preserve">. </w:t>
      </w:r>
      <w:r w:rsidRPr="00D44766">
        <w:rPr>
          <w:lang w:val="en-GB"/>
        </w:rPr>
        <w:t>In this simplified model there are basically two sales channels</w:t>
      </w:r>
      <w:r>
        <w:rPr>
          <w:lang w:val="en-GB"/>
        </w:rPr>
        <w:t xml:space="preserve"> as shown in the following figure</w:t>
      </w:r>
      <w:r w:rsidRPr="00D44766">
        <w:rPr>
          <w:lang w:val="en-GB"/>
        </w:rPr>
        <w:t>.</w:t>
      </w:r>
    </w:p>
    <w:p w14:paraId="43515A3E" w14:textId="56C6CB60" w:rsidR="00523073" w:rsidRDefault="00E81CC9" w:rsidP="000E60D0">
      <w:pPr>
        <w:contextualSpacing/>
        <w:rPr>
          <w:lang w:val="en-GB"/>
        </w:rPr>
      </w:pPr>
      <w:r>
        <w:rPr>
          <w:noProof/>
        </w:rPr>
        <w:lastRenderedPageBreak/>
        <w:pict w14:anchorId="734B3671">
          <v:shape id="_x0000_s2075" type="#_x0000_t202" style="position:absolute;left:0;text-align:left;margin-left:-4.55pt;margin-top:264.75pt;width:462.65pt;height:.05pt;z-index:251687424;mso-position-horizontal-relative:text;mso-position-vertical-relative:text" stroked="f">
            <v:textbox style="mso-fit-shape-to-text:t" inset="0,0,0,0">
              <w:txbxContent>
                <w:p w14:paraId="27747D85" w14:textId="6D8227A2" w:rsidR="00E81CC9" w:rsidRPr="00EC5232" w:rsidRDefault="00E81CC9" w:rsidP="00E81CC9">
                  <w:pPr>
                    <w:pStyle w:val="Beschriftung"/>
                    <w:jc w:val="center"/>
                    <w:rPr>
                      <w:noProof/>
                      <w:sz w:val="24"/>
                      <w:lang w:val="en-GB"/>
                    </w:rPr>
                  </w:pPr>
                  <w:r w:rsidRPr="00E81CC9">
                    <w:rPr>
                      <w:lang w:val="en-GB"/>
                    </w:rPr>
                    <w:t xml:space="preserve">Figure </w:t>
                  </w:r>
                  <w:r>
                    <w:fldChar w:fldCharType="begin"/>
                  </w:r>
                  <w:r w:rsidRPr="00E81CC9">
                    <w:rPr>
                      <w:lang w:val="en-GB"/>
                    </w:rPr>
                    <w:instrText xml:space="preserve"> SEQ Figure \* ARABIC </w:instrText>
                  </w:r>
                  <w:r>
                    <w:fldChar w:fldCharType="separate"/>
                  </w:r>
                  <w:r w:rsidRPr="00E81CC9">
                    <w:rPr>
                      <w:noProof/>
                      <w:lang w:val="en-GB"/>
                    </w:rPr>
                    <w:t>4</w:t>
                  </w:r>
                  <w:r>
                    <w:fldChar w:fldCharType="end"/>
                  </w:r>
                  <w:r w:rsidRPr="00E81CC9">
                    <w:rPr>
                      <w:lang w:val="en-GB"/>
                    </w:rPr>
                    <w:t>: Simplified View of TO booking channels (own illustration)</w:t>
                  </w:r>
                </w:p>
              </w:txbxContent>
            </v:textbox>
            <w10:wrap type="square"/>
          </v:shape>
        </w:pict>
      </w:r>
      <w:r>
        <w:rPr>
          <w:noProof/>
          <w:lang w:val="en-GB"/>
        </w:rPr>
        <w:drawing>
          <wp:anchor distT="0" distB="0" distL="114300" distR="114300" simplePos="0" relativeHeight="251656192" behindDoc="0" locked="0" layoutInCell="1" allowOverlap="1" wp14:anchorId="628ECD91" wp14:editId="03B6844A">
            <wp:simplePos x="0" y="0"/>
            <wp:positionH relativeFrom="margin">
              <wp:align>center</wp:align>
            </wp:positionH>
            <wp:positionV relativeFrom="margin">
              <wp:align>top</wp:align>
            </wp:positionV>
            <wp:extent cx="5875655" cy="3305175"/>
            <wp:effectExtent l="0" t="0" r="0" b="0"/>
            <wp:wrapSquare wrapText="bothSides"/>
            <wp:docPr id="737630057" name="Grafik 1" descr="Ein Bild, das Text,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630057" name="Grafik 1" descr="Ein Bild, das Text, Diagramm, Reihe, Desig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875655" cy="3305175"/>
                    </a:xfrm>
                    <a:prstGeom prst="rect">
                      <a:avLst/>
                    </a:prstGeom>
                  </pic:spPr>
                </pic:pic>
              </a:graphicData>
            </a:graphic>
            <wp14:sizeRelH relativeFrom="margin">
              <wp14:pctWidth>0</wp14:pctWidth>
            </wp14:sizeRelH>
            <wp14:sizeRelV relativeFrom="margin">
              <wp14:pctHeight>0</wp14:pctHeight>
            </wp14:sizeRelV>
          </wp:anchor>
        </w:drawing>
      </w:r>
      <w:r w:rsidR="000E60D0" w:rsidRPr="00D44766">
        <w:rPr>
          <w:lang w:val="en-GB"/>
        </w:rPr>
        <w:t xml:space="preserve"> On the right-hand side, the TO takes over coordinating and booking all services in the destination and either sells to the travel</w:t>
      </w:r>
      <w:r w:rsidR="00E83F4C">
        <w:rPr>
          <w:lang w:val="en-GB"/>
        </w:rPr>
        <w:t>l</w:t>
      </w:r>
      <w:r w:rsidR="000E60D0" w:rsidRPr="00D44766">
        <w:rPr>
          <w:lang w:val="en-GB"/>
        </w:rPr>
        <w:t xml:space="preserve">er directly or via a TA. On the left-hand side, the TO does not book directly with the suppliers but instead books all services (or part of the services) via a preferred </w:t>
      </w:r>
      <w:r w:rsidR="00A77E5F">
        <w:rPr>
          <w:lang w:val="en-GB"/>
        </w:rPr>
        <w:t>Destination Management Company (</w:t>
      </w:r>
      <w:r w:rsidR="000E60D0" w:rsidRPr="00D44766">
        <w:rPr>
          <w:lang w:val="en-GB"/>
        </w:rPr>
        <w:t>DMC</w:t>
      </w:r>
      <w:r w:rsidR="00A77E5F">
        <w:rPr>
          <w:lang w:val="en-GB"/>
        </w:rPr>
        <w:t xml:space="preserve">) </w:t>
      </w:r>
      <w:r w:rsidR="000E60D0" w:rsidRPr="00D44766">
        <w:rPr>
          <w:lang w:val="en-GB"/>
        </w:rPr>
        <w:t>-partner</w:t>
      </w:r>
      <w:r w:rsidR="00523073">
        <w:rPr>
          <w:lang w:val="en-GB"/>
        </w:rPr>
        <w:t xml:space="preserve">. </w:t>
      </w:r>
    </w:p>
    <w:p w14:paraId="5B286D70" w14:textId="1A2C92AA" w:rsidR="00523073" w:rsidRDefault="00523073" w:rsidP="000E60D0">
      <w:pPr>
        <w:contextualSpacing/>
        <w:rPr>
          <w:lang w:val="en-GB"/>
        </w:rPr>
      </w:pPr>
      <w:r w:rsidRPr="00D44766">
        <w:rPr>
          <w:lang w:val="en-GB"/>
        </w:rPr>
        <w:t>DMCs are the local counterpart of the TOs</w:t>
      </w:r>
      <w:r w:rsidR="00A77E5F">
        <w:rPr>
          <w:lang w:val="en-GB"/>
        </w:rPr>
        <w:t>. They can be regarded as TOs themselves only they focus on incoming business (meaning travellers coming into the destination) rather than outbound business (meaning sending travellers abroad). DMCs</w:t>
      </w:r>
      <w:r w:rsidRPr="00D44766">
        <w:rPr>
          <w:lang w:val="en-GB"/>
        </w:rPr>
        <w:t xml:space="preserve"> hold hotel contracts, have third-party partners to arrange transportations, excursions, guides etc. One DMC normally works with several TOs from all over the world – the bigger the</w:t>
      </w:r>
      <w:r w:rsidR="00A77E5F">
        <w:rPr>
          <w:lang w:val="en-GB"/>
        </w:rPr>
        <w:t xml:space="preserve"> DMC is </w:t>
      </w:r>
      <w:r w:rsidRPr="00D44766">
        <w:rPr>
          <w:lang w:val="en-GB"/>
        </w:rPr>
        <w:t>the higher is their buying power which translates into possible power imbalances as the local service providers such as accommodations etc. can easily be dependent on only a small number of DMCs, especially once looking at a more mass-tourism phenomenon. DMCs in this case have to power to negotiate lower rates and if hotels do not agree the risk of losing that business and DMCs shifting the room night</w:t>
      </w:r>
      <w:r w:rsidR="00DC6156">
        <w:rPr>
          <w:lang w:val="en-GB"/>
        </w:rPr>
        <w:t>s</w:t>
      </w:r>
      <w:r w:rsidRPr="00D44766">
        <w:rPr>
          <w:lang w:val="en-GB"/>
        </w:rPr>
        <w:t xml:space="preserve"> to another hotel </w:t>
      </w:r>
      <w:r w:rsidR="00DC6156">
        <w:rPr>
          <w:lang w:val="en-GB"/>
        </w:rPr>
        <w:t>provider</w:t>
      </w:r>
      <w:r w:rsidRPr="00D44766">
        <w:rPr>
          <w:lang w:val="en-GB"/>
        </w:rPr>
        <w:t xml:space="preserve"> exists</w:t>
      </w:r>
      <w:r>
        <w:rPr>
          <w:lang w:val="en-GB"/>
        </w:rPr>
        <w:t>.</w:t>
      </w:r>
    </w:p>
    <w:p w14:paraId="4A49D5FC" w14:textId="652F9A0D" w:rsidR="002B49AC" w:rsidRDefault="00523073" w:rsidP="002E26E0">
      <w:pPr>
        <w:contextualSpacing/>
        <w:rPr>
          <w:lang w:val="en-GB"/>
        </w:rPr>
      </w:pPr>
      <w:r>
        <w:rPr>
          <w:lang w:val="en-GB"/>
        </w:rPr>
        <w:t xml:space="preserve">When working with and through a DMC, </w:t>
      </w:r>
      <w:r w:rsidR="000E60D0" w:rsidRPr="00D44766">
        <w:rPr>
          <w:lang w:val="en-GB"/>
        </w:rPr>
        <w:t>the TO only has one contractual obligation – towards the DMC, whereas in the other case, the TO has contractual obligation with every individual service provider</w:t>
      </w:r>
      <w:r w:rsidR="000E60D0">
        <w:rPr>
          <w:lang w:val="en-GB"/>
        </w:rPr>
        <w:t xml:space="preserve">. </w:t>
      </w:r>
      <w:r w:rsidR="000E60D0" w:rsidRPr="00D44766">
        <w:rPr>
          <w:lang w:val="en-GB"/>
        </w:rPr>
        <w:t xml:space="preserve">According to </w:t>
      </w:r>
      <w:r w:rsidR="000E60D0" w:rsidRPr="009A0FFF">
        <w:rPr>
          <w:color w:val="00B050"/>
          <w:lang w:val="en-GB"/>
        </w:rPr>
        <w:t>Pompl (1997</w:t>
      </w:r>
      <w:r w:rsidR="000E60D0" w:rsidRPr="00D44766">
        <w:rPr>
          <w:lang w:val="en-GB"/>
        </w:rPr>
        <w:t>) the service providers are directly fulfilling the contractual obligations the TOs</w:t>
      </w:r>
      <w:r>
        <w:rPr>
          <w:lang w:val="en-GB"/>
        </w:rPr>
        <w:t xml:space="preserve"> (</w:t>
      </w:r>
      <w:r w:rsidR="000E60D0" w:rsidRPr="00D44766">
        <w:rPr>
          <w:lang w:val="en-GB"/>
        </w:rPr>
        <w:t>or TAs respectively</w:t>
      </w:r>
      <w:r>
        <w:rPr>
          <w:lang w:val="en-GB"/>
        </w:rPr>
        <w:t>)</w:t>
      </w:r>
      <w:r w:rsidR="000E60D0" w:rsidRPr="00D44766">
        <w:rPr>
          <w:lang w:val="en-GB"/>
        </w:rPr>
        <w:t xml:space="preserve"> have sold. </w:t>
      </w:r>
      <w:r>
        <w:rPr>
          <w:lang w:val="en-GB"/>
        </w:rPr>
        <w:t>Hence, t</w:t>
      </w:r>
      <w:r w:rsidRPr="00D44766">
        <w:rPr>
          <w:lang w:val="en-GB"/>
        </w:rPr>
        <w:t>he role of the service providers in the system is crucial as they are delivering the individual components that make up the final tourism product</w:t>
      </w:r>
      <w:r>
        <w:rPr>
          <w:lang w:val="en-GB"/>
        </w:rPr>
        <w:t xml:space="preserve">. They are responsible for the </w:t>
      </w:r>
      <w:r w:rsidRPr="00D44766">
        <w:rPr>
          <w:lang w:val="en-GB"/>
        </w:rPr>
        <w:t>experience that clients</w:t>
      </w:r>
      <w:r>
        <w:rPr>
          <w:lang w:val="en-GB"/>
        </w:rPr>
        <w:t xml:space="preserve"> will have during their holiday and upon which they</w:t>
      </w:r>
      <w:r w:rsidRPr="00D44766">
        <w:rPr>
          <w:lang w:val="en-GB"/>
        </w:rPr>
        <w:t xml:space="preserve"> will eventually base their overall evaluation </w:t>
      </w:r>
      <w:r w:rsidRPr="00D44766">
        <w:rPr>
          <w:lang w:val="en-GB"/>
        </w:rPr>
        <w:lastRenderedPageBreak/>
        <w:t>on.</w:t>
      </w:r>
      <w:r>
        <w:rPr>
          <w:lang w:val="en-GB"/>
        </w:rPr>
        <w:t xml:space="preserve"> </w:t>
      </w:r>
      <w:r w:rsidR="002B49AC" w:rsidRPr="00D44766">
        <w:rPr>
          <w:lang w:val="en-GB"/>
        </w:rPr>
        <w:t xml:space="preserve">Therefore, how the </w:t>
      </w:r>
      <w:r>
        <w:rPr>
          <w:lang w:val="en-GB"/>
        </w:rPr>
        <w:t xml:space="preserve">individual </w:t>
      </w:r>
      <w:r w:rsidR="002B49AC" w:rsidRPr="00D44766">
        <w:rPr>
          <w:lang w:val="en-GB"/>
        </w:rPr>
        <w:t>service provider</w:t>
      </w:r>
      <w:r>
        <w:rPr>
          <w:lang w:val="en-GB"/>
        </w:rPr>
        <w:t>s</w:t>
      </w:r>
      <w:r w:rsidR="002B49AC" w:rsidRPr="00D44766">
        <w:rPr>
          <w:lang w:val="en-GB"/>
        </w:rPr>
        <w:t xml:space="preserve"> </w:t>
      </w:r>
      <w:r>
        <w:rPr>
          <w:lang w:val="en-GB"/>
        </w:rPr>
        <w:t>are</w:t>
      </w:r>
      <w:r w:rsidR="002B49AC" w:rsidRPr="00D44766">
        <w:rPr>
          <w:lang w:val="en-GB"/>
        </w:rPr>
        <w:t xml:space="preserve"> performing will reflect on the respective TO and TA even though they </w:t>
      </w:r>
      <w:r w:rsidR="00B157A4" w:rsidRPr="00D44766">
        <w:rPr>
          <w:lang w:val="en-GB"/>
        </w:rPr>
        <w:t xml:space="preserve">in turn </w:t>
      </w:r>
      <w:r w:rsidR="002B49AC" w:rsidRPr="00D44766">
        <w:rPr>
          <w:lang w:val="en-GB"/>
        </w:rPr>
        <w:t xml:space="preserve">are not directly involved in the </w:t>
      </w:r>
      <w:r w:rsidR="00B157A4" w:rsidRPr="00D44766">
        <w:rPr>
          <w:lang w:val="en-GB"/>
        </w:rPr>
        <w:t xml:space="preserve">actual </w:t>
      </w:r>
      <w:r w:rsidR="002B49AC" w:rsidRPr="00D44766">
        <w:rPr>
          <w:lang w:val="en-GB"/>
        </w:rPr>
        <w:t>service delivery</w:t>
      </w:r>
      <w:r w:rsidR="008E7DB9" w:rsidRPr="00D44766">
        <w:rPr>
          <w:lang w:val="en-GB"/>
        </w:rPr>
        <w:t xml:space="preserve"> anymore</w:t>
      </w:r>
      <w:r w:rsidR="002B49AC" w:rsidRPr="00D44766">
        <w:rPr>
          <w:lang w:val="en-GB"/>
        </w:rPr>
        <w:t xml:space="preserve">. </w:t>
      </w:r>
      <w:r w:rsidR="00DC6156">
        <w:rPr>
          <w:lang w:val="en-GB"/>
        </w:rPr>
        <w:t>This also is partly the reason, why TOs have founded their own DMC or having holdings in DMCs.</w:t>
      </w:r>
    </w:p>
    <w:p w14:paraId="20C8E651" w14:textId="2714113C" w:rsidR="00E83F4C" w:rsidRPr="00560729" w:rsidRDefault="00E83F4C" w:rsidP="00E83F4C">
      <w:pPr>
        <w:pStyle w:val="berschrift2"/>
        <w:rPr>
          <w:lang w:val="en-GB"/>
        </w:rPr>
      </w:pPr>
      <w:bookmarkStart w:id="23" w:name="_Toc143330981"/>
      <w:bookmarkStart w:id="24" w:name="_Toc143361648"/>
      <w:r w:rsidRPr="00560729">
        <w:rPr>
          <w:lang w:val="en-GB"/>
        </w:rPr>
        <w:t>2.2.</w:t>
      </w:r>
      <w:r>
        <w:rPr>
          <w:lang w:val="en-GB"/>
        </w:rPr>
        <w:t>3</w:t>
      </w:r>
      <w:r w:rsidRPr="00560729">
        <w:rPr>
          <w:lang w:val="en-GB"/>
        </w:rPr>
        <w:t>. Institutions &amp; other service providers</w:t>
      </w:r>
      <w:bookmarkEnd w:id="23"/>
      <w:bookmarkEnd w:id="24"/>
    </w:p>
    <w:p w14:paraId="56386906" w14:textId="715103EC" w:rsidR="00E83F4C" w:rsidRPr="00D44766" w:rsidRDefault="00E83F4C" w:rsidP="00E83F4C">
      <w:pPr>
        <w:contextualSpacing/>
        <w:rPr>
          <w:lang w:val="en-GB"/>
        </w:rPr>
      </w:pPr>
      <w:r w:rsidRPr="00D44766">
        <w:rPr>
          <w:lang w:val="en-GB"/>
        </w:rPr>
        <w:t>With institutions and other service providers Pompl is referring to supporting business and/or influences o</w:t>
      </w:r>
      <w:r w:rsidR="00DE2688">
        <w:rPr>
          <w:lang w:val="en-GB"/>
        </w:rPr>
        <w:t>n</w:t>
      </w:r>
      <w:r w:rsidRPr="00D44766">
        <w:rPr>
          <w:lang w:val="en-GB"/>
        </w:rPr>
        <w:t xml:space="preserve"> the tourism system affecting it directly or indirectly. This ranges from official tourist boards to marketing agencies as well as tourism politics. These institutions are </w:t>
      </w:r>
      <w:r w:rsidR="00DE2688">
        <w:rPr>
          <w:lang w:val="en-GB"/>
        </w:rPr>
        <w:t xml:space="preserve">for example </w:t>
      </w:r>
      <w:r w:rsidRPr="00D44766">
        <w:rPr>
          <w:lang w:val="en-GB"/>
        </w:rPr>
        <w:t>responsible for promoting tourism to a destination a</w:t>
      </w:r>
      <w:r>
        <w:rPr>
          <w:lang w:val="en-GB"/>
        </w:rPr>
        <w:t>nd do</w:t>
      </w:r>
      <w:r w:rsidRPr="00D44766">
        <w:rPr>
          <w:lang w:val="en-GB"/>
        </w:rPr>
        <w:t xml:space="preserve"> play a vital role in </w:t>
      </w:r>
      <w:r w:rsidR="00DE2688">
        <w:rPr>
          <w:lang w:val="en-GB"/>
        </w:rPr>
        <w:t xml:space="preserve">rising </w:t>
      </w:r>
      <w:r w:rsidRPr="00D44766">
        <w:rPr>
          <w:lang w:val="en-GB"/>
        </w:rPr>
        <w:t xml:space="preserve">awareness and </w:t>
      </w:r>
      <w:r w:rsidR="00DE2688">
        <w:rPr>
          <w:lang w:val="en-GB"/>
        </w:rPr>
        <w:t xml:space="preserve">attracting </w:t>
      </w:r>
      <w:r w:rsidRPr="00D44766">
        <w:rPr>
          <w:lang w:val="en-GB"/>
        </w:rPr>
        <w:t>tourists. The message they convey about the destination can have an influence on the type of tourists that is being attracted.</w:t>
      </w:r>
      <w:r>
        <w:rPr>
          <w:lang w:val="en-GB"/>
        </w:rPr>
        <w:t xml:space="preserve"> I</w:t>
      </w:r>
      <w:r w:rsidRPr="00D44766">
        <w:rPr>
          <w:lang w:val="en-GB"/>
        </w:rPr>
        <w:t xml:space="preserve">t can equally also reduce tourism flows by closing regions up, limiting the numbers of tourists for a defined period or </w:t>
      </w:r>
      <w:r w:rsidR="00940444">
        <w:rPr>
          <w:lang w:val="en-GB"/>
        </w:rPr>
        <w:t>charge admission fees for certain</w:t>
      </w:r>
      <w:r w:rsidR="004B18BC">
        <w:rPr>
          <w:lang w:val="en-GB"/>
        </w:rPr>
        <w:t xml:space="preserve"> areas</w:t>
      </w:r>
      <w:r w:rsidRPr="00D44766">
        <w:rPr>
          <w:lang w:val="en-GB"/>
        </w:rPr>
        <w:t>. One prominent example are national park</w:t>
      </w:r>
      <w:r>
        <w:rPr>
          <w:lang w:val="en-GB"/>
        </w:rPr>
        <w:t>s</w:t>
      </w:r>
      <w:r w:rsidRPr="00D44766">
        <w:rPr>
          <w:lang w:val="en-GB"/>
        </w:rPr>
        <w:t xml:space="preserve"> (private or state parks) throughout Southern and Eastern Africa as well as the Kingdom of Bhutan posing a Sustainable Development Fee on every tourist. The touris</w:t>
      </w:r>
      <w:r w:rsidR="004B18BC">
        <w:rPr>
          <w:lang w:val="en-GB"/>
        </w:rPr>
        <w:t>m</w:t>
      </w:r>
      <w:r w:rsidRPr="00D44766">
        <w:rPr>
          <w:lang w:val="en-GB"/>
        </w:rPr>
        <w:t xml:space="preserve"> board explains this as follows: ‘</w:t>
      </w:r>
      <w:r w:rsidRPr="00D44766">
        <w:rPr>
          <w:i/>
          <w:iCs/>
          <w:lang w:val="en-GB"/>
        </w:rPr>
        <w:t>From ou</w:t>
      </w:r>
      <w:r w:rsidR="004B18BC">
        <w:rPr>
          <w:i/>
          <w:iCs/>
          <w:lang w:val="en-GB"/>
        </w:rPr>
        <w:t>r</w:t>
      </w:r>
      <w:r w:rsidRPr="00D44766">
        <w:rPr>
          <w:i/>
          <w:iCs/>
          <w:lang w:val="en-GB"/>
        </w:rPr>
        <w:t xml:space="preserve"> reopening on September 23</w:t>
      </w:r>
      <w:r w:rsidRPr="00D44766">
        <w:rPr>
          <w:i/>
          <w:iCs/>
          <w:vertAlign w:val="superscript"/>
          <w:lang w:val="en-GB"/>
        </w:rPr>
        <w:t>rd</w:t>
      </w:r>
      <w:r w:rsidRPr="00D44766">
        <w:rPr>
          <w:i/>
          <w:iCs/>
          <w:lang w:val="en-GB"/>
        </w:rPr>
        <w:t>, visitors to Bhutan will make an active contribution to Bhutan’s economic, social and cultural development. The Sustainable Development Fee (SDF) enables investment in transformative programmes that preserve our traditions, protect our heritage and environment, upgrade infrastructure, create opportunities for our young people and build resilience.</w:t>
      </w:r>
      <w:r w:rsidRPr="00D44766">
        <w:rPr>
          <w:lang w:val="en-GB"/>
        </w:rPr>
        <w:t>’ (</w:t>
      </w:r>
      <w:r w:rsidRPr="00972AEA">
        <w:rPr>
          <w:color w:val="00B050"/>
          <w:lang w:val="en-GB"/>
        </w:rPr>
        <w:t>Bhutan Department of Tourism, 2023</w:t>
      </w:r>
      <w:hyperlink r:id="rId16" w:history="1"/>
      <w:r w:rsidRPr="00D44766">
        <w:rPr>
          <w:lang w:val="en-GB"/>
        </w:rPr>
        <w:t>).</w:t>
      </w:r>
    </w:p>
    <w:p w14:paraId="10BEAB3F" w14:textId="519CF477" w:rsidR="00EF6563" w:rsidRPr="00D44766" w:rsidRDefault="00A67409" w:rsidP="00A67409">
      <w:pPr>
        <w:pStyle w:val="berschrift2"/>
        <w:rPr>
          <w:lang w:val="en-GB"/>
        </w:rPr>
      </w:pPr>
      <w:bookmarkStart w:id="25" w:name="_Toc143330982"/>
      <w:bookmarkStart w:id="26" w:name="_Toc143361649"/>
      <w:r>
        <w:rPr>
          <w:lang w:val="en-GB"/>
        </w:rPr>
        <w:t>2.2.</w:t>
      </w:r>
      <w:r w:rsidR="00E83F4C">
        <w:rPr>
          <w:lang w:val="en-GB"/>
        </w:rPr>
        <w:t>4</w:t>
      </w:r>
      <w:r>
        <w:rPr>
          <w:lang w:val="en-GB"/>
        </w:rPr>
        <w:t xml:space="preserve">. </w:t>
      </w:r>
      <w:r w:rsidR="00666A48" w:rsidRPr="00D44766">
        <w:rPr>
          <w:lang w:val="en-GB"/>
        </w:rPr>
        <w:t>Attractions</w:t>
      </w:r>
      <w:r w:rsidR="00E83F4C">
        <w:rPr>
          <w:lang w:val="en-GB"/>
        </w:rPr>
        <w:t xml:space="preserve"> </w:t>
      </w:r>
      <w:r w:rsidR="00B7423B">
        <w:rPr>
          <w:lang w:val="en-GB"/>
        </w:rPr>
        <w:t>&amp;</w:t>
      </w:r>
      <w:r w:rsidR="00E83F4C">
        <w:rPr>
          <w:lang w:val="en-GB"/>
        </w:rPr>
        <w:t xml:space="preserve"> the Systems Environment</w:t>
      </w:r>
      <w:bookmarkEnd w:id="25"/>
      <w:bookmarkEnd w:id="26"/>
    </w:p>
    <w:p w14:paraId="05BF1513" w14:textId="76F94271" w:rsidR="005F0150" w:rsidRPr="00D44766" w:rsidRDefault="004B25F7" w:rsidP="002E26E0">
      <w:pPr>
        <w:contextualSpacing/>
        <w:rPr>
          <w:lang w:val="en-GB"/>
        </w:rPr>
      </w:pPr>
      <w:r w:rsidRPr="009A0FFF">
        <w:rPr>
          <w:color w:val="00B050"/>
          <w:lang w:val="en-GB"/>
        </w:rPr>
        <w:t>Pompl (1997</w:t>
      </w:r>
      <w:r w:rsidRPr="00D44766">
        <w:rPr>
          <w:lang w:val="en-GB"/>
        </w:rPr>
        <w:t>) divides attractions into two sub-categories: primary and secondary attractions. Primary attractions are characterized of initially not having any relation to tourism whatsoever</w:t>
      </w:r>
      <w:r w:rsidR="00F56E85" w:rsidRPr="00D44766">
        <w:rPr>
          <w:lang w:val="en-GB"/>
        </w:rPr>
        <w:t>,</w:t>
      </w:r>
      <w:r w:rsidRPr="00D44766">
        <w:rPr>
          <w:lang w:val="en-GB"/>
        </w:rPr>
        <w:t xml:space="preserve"> but the</w:t>
      </w:r>
      <w:r w:rsidR="00F56E85" w:rsidRPr="00D44766">
        <w:rPr>
          <w:lang w:val="en-GB"/>
        </w:rPr>
        <w:t>i</w:t>
      </w:r>
      <w:r w:rsidRPr="00D44766">
        <w:rPr>
          <w:lang w:val="en-GB"/>
        </w:rPr>
        <w:t xml:space="preserve">r </w:t>
      </w:r>
      <w:r w:rsidR="00F56E85" w:rsidRPr="00D44766">
        <w:rPr>
          <w:lang w:val="en-GB"/>
        </w:rPr>
        <w:t>sheer</w:t>
      </w:r>
      <w:r w:rsidRPr="00D44766">
        <w:rPr>
          <w:lang w:val="en-GB"/>
        </w:rPr>
        <w:t xml:space="preserve"> existence turn</w:t>
      </w:r>
      <w:r w:rsidR="00F56E85" w:rsidRPr="00D44766">
        <w:rPr>
          <w:lang w:val="en-GB"/>
        </w:rPr>
        <w:t>s</w:t>
      </w:r>
      <w:r w:rsidRPr="00D44766">
        <w:rPr>
          <w:lang w:val="en-GB"/>
        </w:rPr>
        <w:t xml:space="preserve"> </w:t>
      </w:r>
      <w:r w:rsidR="00955F72">
        <w:rPr>
          <w:lang w:val="en-GB"/>
        </w:rPr>
        <w:t>them</w:t>
      </w:r>
      <w:r w:rsidRPr="00D44766">
        <w:rPr>
          <w:lang w:val="en-GB"/>
        </w:rPr>
        <w:t xml:space="preserve"> into the attraction. </w:t>
      </w:r>
      <w:r w:rsidR="007E0E97" w:rsidRPr="00D44766">
        <w:rPr>
          <w:lang w:val="en-GB"/>
        </w:rPr>
        <w:t>E</w:t>
      </w:r>
      <w:r w:rsidRPr="00D44766">
        <w:rPr>
          <w:lang w:val="en-GB"/>
        </w:rPr>
        <w:t>xamples</w:t>
      </w:r>
      <w:r w:rsidR="007E0E97" w:rsidRPr="00D44766">
        <w:rPr>
          <w:lang w:val="en-GB"/>
        </w:rPr>
        <w:t xml:space="preserve"> her can be a certain </w:t>
      </w:r>
      <w:r w:rsidRPr="00D44766">
        <w:rPr>
          <w:lang w:val="en-GB"/>
        </w:rPr>
        <w:t>geographic location</w:t>
      </w:r>
      <w:r w:rsidR="00F56E85" w:rsidRPr="00D44766">
        <w:rPr>
          <w:lang w:val="en-GB"/>
        </w:rPr>
        <w:t xml:space="preserve"> </w:t>
      </w:r>
      <w:r w:rsidR="00503E83" w:rsidRPr="00D44766">
        <w:rPr>
          <w:lang w:val="en-GB"/>
        </w:rPr>
        <w:t>e.g.</w:t>
      </w:r>
      <w:r w:rsidR="00E83F4C">
        <w:rPr>
          <w:lang w:val="en-GB"/>
        </w:rPr>
        <w:t>,</w:t>
      </w:r>
      <w:r w:rsidR="00F56E85" w:rsidRPr="00D44766">
        <w:rPr>
          <w:lang w:val="en-GB"/>
        </w:rPr>
        <w:t xml:space="preserve"> Grand Canyon in the US</w:t>
      </w:r>
      <w:r w:rsidRPr="00D44766">
        <w:rPr>
          <w:lang w:val="en-GB"/>
        </w:rPr>
        <w:t>, wildlife/animals</w:t>
      </w:r>
      <w:r w:rsidR="00F56E85" w:rsidRPr="00D44766">
        <w:rPr>
          <w:lang w:val="en-GB"/>
        </w:rPr>
        <w:t xml:space="preserve"> </w:t>
      </w:r>
      <w:r w:rsidR="00AA538D" w:rsidRPr="00D44766">
        <w:rPr>
          <w:lang w:val="en-GB"/>
        </w:rPr>
        <w:t>e.g</w:t>
      </w:r>
      <w:r w:rsidR="00AA538D">
        <w:rPr>
          <w:lang w:val="en-GB"/>
        </w:rPr>
        <w:t>.,</w:t>
      </w:r>
      <w:r w:rsidR="00F56E85" w:rsidRPr="00D44766">
        <w:rPr>
          <w:lang w:val="en-GB"/>
        </w:rPr>
        <w:t xml:space="preserve"> Gorillas in Uganda/Ruanda</w:t>
      </w:r>
      <w:r w:rsidRPr="00D44766">
        <w:rPr>
          <w:lang w:val="en-GB"/>
        </w:rPr>
        <w:t xml:space="preserve">, vegetation but also socio-cultural aspects of the local population as well as simply the infrastructure in a specific destination. </w:t>
      </w:r>
      <w:r w:rsidR="007E0E97" w:rsidRPr="00D44766">
        <w:rPr>
          <w:lang w:val="en-GB"/>
        </w:rPr>
        <w:t>S</w:t>
      </w:r>
      <w:r w:rsidRPr="00D44766">
        <w:rPr>
          <w:lang w:val="en-GB"/>
        </w:rPr>
        <w:t>econdary attraction</w:t>
      </w:r>
      <w:r w:rsidR="007E0E97" w:rsidRPr="00D44766">
        <w:rPr>
          <w:lang w:val="en-GB"/>
        </w:rPr>
        <w:t>s</w:t>
      </w:r>
      <w:r w:rsidRPr="00D44766">
        <w:rPr>
          <w:lang w:val="en-GB"/>
        </w:rPr>
        <w:t xml:space="preserve"> are characterised by Pompl as those which have been specifically build around tourism</w:t>
      </w:r>
      <w:r w:rsidR="00955F72">
        <w:rPr>
          <w:lang w:val="en-GB"/>
        </w:rPr>
        <w:t xml:space="preserve"> for example</w:t>
      </w:r>
      <w:r w:rsidRPr="00D44766">
        <w:rPr>
          <w:lang w:val="en-GB"/>
        </w:rPr>
        <w:t xml:space="preserve"> events, hotels and also those attractions</w:t>
      </w:r>
      <w:r w:rsidR="007E0E97" w:rsidRPr="00D44766">
        <w:rPr>
          <w:lang w:val="en-GB"/>
        </w:rPr>
        <w:t>,</w:t>
      </w:r>
      <w:r w:rsidRPr="00D44766">
        <w:rPr>
          <w:lang w:val="en-GB"/>
        </w:rPr>
        <w:t xml:space="preserve"> which have been built to attract eve</w:t>
      </w:r>
      <w:r w:rsidR="00F56E85" w:rsidRPr="00D44766">
        <w:rPr>
          <w:lang w:val="en-GB"/>
        </w:rPr>
        <w:t>n</w:t>
      </w:r>
      <w:r w:rsidRPr="00D44766">
        <w:rPr>
          <w:lang w:val="en-GB"/>
        </w:rPr>
        <w:t xml:space="preserve"> more tourism. </w:t>
      </w:r>
      <w:r w:rsidR="005F0150" w:rsidRPr="00D44766">
        <w:rPr>
          <w:lang w:val="en-GB"/>
        </w:rPr>
        <w:t xml:space="preserve">Especially the primary attractions often are a major motivator for tourists to visit specific places. As </w:t>
      </w:r>
      <w:r w:rsidR="005F0150" w:rsidRPr="009A0FFF">
        <w:rPr>
          <w:color w:val="00B050"/>
          <w:lang w:val="en-GB"/>
        </w:rPr>
        <w:t>Streimikiene et al. (2020</w:t>
      </w:r>
      <w:r w:rsidR="005F0150" w:rsidRPr="00D44766">
        <w:rPr>
          <w:lang w:val="en-GB"/>
        </w:rPr>
        <w:t xml:space="preserve">) </w:t>
      </w:r>
      <w:r w:rsidR="004F52AF">
        <w:rPr>
          <w:lang w:val="en-GB"/>
        </w:rPr>
        <w:t>state</w:t>
      </w:r>
      <w:r w:rsidR="005F0150" w:rsidRPr="00D44766">
        <w:rPr>
          <w:lang w:val="en-GB"/>
        </w:rPr>
        <w:t>, more people can nowadays afford to travel</w:t>
      </w:r>
      <w:r w:rsidR="007E0E97" w:rsidRPr="00D44766">
        <w:rPr>
          <w:lang w:val="en-GB"/>
        </w:rPr>
        <w:t xml:space="preserve"> leading to th</w:t>
      </w:r>
      <w:r w:rsidR="00F56E85" w:rsidRPr="00D44766">
        <w:rPr>
          <w:lang w:val="en-GB"/>
        </w:rPr>
        <w:t>e big paradox</w:t>
      </w:r>
      <w:r w:rsidR="007E0E97" w:rsidRPr="00D44766">
        <w:rPr>
          <w:lang w:val="en-GB"/>
        </w:rPr>
        <w:t xml:space="preserve"> that </w:t>
      </w:r>
      <w:r w:rsidR="00F56E85" w:rsidRPr="00D44766">
        <w:rPr>
          <w:lang w:val="en-GB"/>
        </w:rPr>
        <w:t>t</w:t>
      </w:r>
      <w:r w:rsidR="005F0150" w:rsidRPr="00D44766">
        <w:rPr>
          <w:lang w:val="en-GB"/>
        </w:rPr>
        <w:t xml:space="preserve">hese growing tourism flows pose a major threat to the very environment which attracts tourists in the first place – this </w:t>
      </w:r>
      <w:r w:rsidR="004F52AF">
        <w:rPr>
          <w:lang w:val="en-GB"/>
        </w:rPr>
        <w:t xml:space="preserve">equally </w:t>
      </w:r>
      <w:r w:rsidR="005F0150" w:rsidRPr="00D44766">
        <w:rPr>
          <w:lang w:val="en-GB"/>
        </w:rPr>
        <w:t>hold</w:t>
      </w:r>
      <w:r w:rsidR="004F52AF">
        <w:rPr>
          <w:lang w:val="en-GB"/>
        </w:rPr>
        <w:t>s</w:t>
      </w:r>
      <w:r w:rsidR="005F0150" w:rsidRPr="00D44766">
        <w:rPr>
          <w:lang w:val="en-GB"/>
        </w:rPr>
        <w:t xml:space="preserve"> true</w:t>
      </w:r>
      <w:r w:rsidR="004F52AF">
        <w:rPr>
          <w:lang w:val="en-GB"/>
        </w:rPr>
        <w:t xml:space="preserve"> </w:t>
      </w:r>
      <w:r w:rsidR="005F0150" w:rsidRPr="00D44766">
        <w:rPr>
          <w:lang w:val="en-GB"/>
        </w:rPr>
        <w:t>for wildlife, nature but also</w:t>
      </w:r>
      <w:r w:rsidR="00F876C5" w:rsidRPr="00D44766">
        <w:rPr>
          <w:lang w:val="en-GB"/>
        </w:rPr>
        <w:t xml:space="preserve"> for</w:t>
      </w:r>
      <w:r w:rsidR="005F0150" w:rsidRPr="00D44766">
        <w:rPr>
          <w:lang w:val="en-GB"/>
        </w:rPr>
        <w:t xml:space="preserve"> life </w:t>
      </w:r>
      <w:r w:rsidR="005F0150" w:rsidRPr="00D44766">
        <w:rPr>
          <w:lang w:val="en-GB"/>
        </w:rPr>
        <w:lastRenderedPageBreak/>
        <w:t xml:space="preserve">of the local communities, traditions and culture. </w:t>
      </w:r>
      <w:r w:rsidR="005F0150" w:rsidRPr="000A40E5">
        <w:rPr>
          <w:lang w:val="en-GB"/>
        </w:rPr>
        <w:t>Over-tourism</w:t>
      </w:r>
      <w:r w:rsidR="005F0150" w:rsidRPr="00D44766">
        <w:rPr>
          <w:lang w:val="en-GB"/>
        </w:rPr>
        <w:t xml:space="preserve"> can lead to a depreciation of the tourist destination and its resources (</w:t>
      </w:r>
      <w:r w:rsidR="005F0150" w:rsidRPr="009A0FFF">
        <w:rPr>
          <w:color w:val="00B050"/>
          <w:lang w:val="en-GB"/>
        </w:rPr>
        <w:t>Soratana et al.,2021</w:t>
      </w:r>
      <w:r w:rsidR="005F0150" w:rsidRPr="00D44766">
        <w:rPr>
          <w:lang w:val="en-GB"/>
        </w:rPr>
        <w:t>)</w:t>
      </w:r>
      <w:r w:rsidR="004F52AF">
        <w:rPr>
          <w:lang w:val="en-GB"/>
        </w:rPr>
        <w:t xml:space="preserve">. </w:t>
      </w:r>
      <w:r w:rsidR="008B4CD5">
        <w:rPr>
          <w:lang w:val="en-GB"/>
        </w:rPr>
        <w:t>Over-tourism has been coined not only by academics but has also been recognised as a challenge by official bodies such as WTTC and UNWTO, who address this in dedicated reports in 2017 and 2018, 2019 respectively</w:t>
      </w:r>
      <w:r w:rsidR="000A40E5">
        <w:rPr>
          <w:lang w:val="en-GB"/>
        </w:rPr>
        <w:t xml:space="preserve"> and various definitions have been given.</w:t>
      </w:r>
      <w:r w:rsidR="008B4CD5">
        <w:rPr>
          <w:lang w:val="en-GB"/>
        </w:rPr>
        <w:t xml:space="preserve"> </w:t>
      </w:r>
      <w:r w:rsidR="000A40E5">
        <w:rPr>
          <w:lang w:val="en-GB"/>
        </w:rPr>
        <w:t>Milano</w:t>
      </w:r>
      <w:r w:rsidR="00130538">
        <w:rPr>
          <w:lang w:val="en-GB"/>
        </w:rPr>
        <w:t>, Cheer and Novelli</w:t>
      </w:r>
      <w:r w:rsidR="000A40E5">
        <w:rPr>
          <w:lang w:val="en-GB"/>
        </w:rPr>
        <w:t xml:space="preserve"> (20</w:t>
      </w:r>
      <w:r w:rsidR="00130538">
        <w:rPr>
          <w:lang w:val="en-GB"/>
        </w:rPr>
        <w:t>18</w:t>
      </w:r>
      <w:r w:rsidR="000A40E5">
        <w:rPr>
          <w:lang w:val="en-GB"/>
        </w:rPr>
        <w:t>) describe the phenomenon as ‘the excessive</w:t>
      </w:r>
      <w:r w:rsidR="00130538">
        <w:rPr>
          <w:lang w:val="en-GB"/>
        </w:rPr>
        <w:t xml:space="preserve"> growth of visitors leading to over-crowding in areas where residents suffer the consequences of temporary and seasonal tourism peaks, which caused permanent changes to their lifestyles, denied access to amenities and damaged their general well-being’. </w:t>
      </w:r>
      <w:r w:rsidR="004F52AF">
        <w:rPr>
          <w:lang w:val="en-GB"/>
        </w:rPr>
        <w:t>This</w:t>
      </w:r>
      <w:r w:rsidR="00F56E85" w:rsidRPr="00D44766">
        <w:rPr>
          <w:lang w:val="en-GB"/>
        </w:rPr>
        <w:t xml:space="preserve"> will eventually </w:t>
      </w:r>
      <w:r w:rsidR="004F52AF">
        <w:rPr>
          <w:lang w:val="en-GB"/>
        </w:rPr>
        <w:t xml:space="preserve">lead to a </w:t>
      </w:r>
      <w:r w:rsidR="00F56E85" w:rsidRPr="00D44766">
        <w:rPr>
          <w:lang w:val="en-GB"/>
        </w:rPr>
        <w:t>deplet</w:t>
      </w:r>
      <w:r w:rsidR="004F52AF">
        <w:rPr>
          <w:lang w:val="en-GB"/>
        </w:rPr>
        <w:t>ion</w:t>
      </w:r>
      <w:r w:rsidR="00F56E85" w:rsidRPr="00D44766">
        <w:rPr>
          <w:lang w:val="en-GB"/>
        </w:rPr>
        <w:t xml:space="preserve"> </w:t>
      </w:r>
      <w:r w:rsidR="004F52AF">
        <w:rPr>
          <w:lang w:val="en-GB"/>
        </w:rPr>
        <w:t xml:space="preserve">of </w:t>
      </w:r>
      <w:r w:rsidR="00F56E85" w:rsidRPr="00D44766">
        <w:rPr>
          <w:lang w:val="en-GB"/>
        </w:rPr>
        <w:t xml:space="preserve">the destination/region and thus taking away </w:t>
      </w:r>
      <w:r w:rsidR="004F52AF">
        <w:rPr>
          <w:lang w:val="en-GB"/>
        </w:rPr>
        <w:t>its</w:t>
      </w:r>
      <w:r w:rsidR="00F56E85" w:rsidRPr="00D44766">
        <w:rPr>
          <w:lang w:val="en-GB"/>
        </w:rPr>
        <w:t xml:space="preserve"> attractiveness </w:t>
      </w:r>
      <w:r w:rsidR="004F52AF">
        <w:rPr>
          <w:lang w:val="en-GB"/>
        </w:rPr>
        <w:t xml:space="preserve">and accompanying reduction </w:t>
      </w:r>
      <w:r w:rsidR="00F56E85" w:rsidRPr="00D44766">
        <w:rPr>
          <w:lang w:val="en-GB"/>
        </w:rPr>
        <w:t>of tourist arrivals and henceforth, a</w:t>
      </w:r>
      <w:r w:rsidR="004F52AF">
        <w:rPr>
          <w:lang w:val="en-GB"/>
        </w:rPr>
        <w:t>lso</w:t>
      </w:r>
      <w:r w:rsidR="00F56E85" w:rsidRPr="00D44766">
        <w:rPr>
          <w:lang w:val="en-GB"/>
        </w:rPr>
        <w:t xml:space="preserve"> in income to all those involved in the tourism industry in this particular </w:t>
      </w:r>
      <w:r w:rsidR="00F876C5" w:rsidRPr="00D44766">
        <w:rPr>
          <w:lang w:val="en-GB"/>
        </w:rPr>
        <w:t>destination</w:t>
      </w:r>
      <w:r w:rsidR="00F56E85" w:rsidRPr="00D44766">
        <w:rPr>
          <w:lang w:val="en-GB"/>
        </w:rPr>
        <w:t xml:space="preserve">/region. </w:t>
      </w:r>
    </w:p>
    <w:p w14:paraId="0F3581B4" w14:textId="27257C43" w:rsidR="00B9619F" w:rsidRPr="00D44766" w:rsidRDefault="00B9619F" w:rsidP="002E26E0">
      <w:pPr>
        <w:contextualSpacing/>
        <w:rPr>
          <w:lang w:val="en-GB"/>
        </w:rPr>
      </w:pPr>
      <w:r w:rsidRPr="00D44766">
        <w:rPr>
          <w:lang w:val="en-GB"/>
        </w:rPr>
        <w:t>The overall systems environment reflects the current (global) economic situation</w:t>
      </w:r>
      <w:r w:rsidR="002F25EB" w:rsidRPr="00D44766">
        <w:rPr>
          <w:lang w:val="en-GB"/>
        </w:rPr>
        <w:t xml:space="preserve">, the society, general politics and the natural environment. All four very broadly defined categories can individually have a detrimental or </w:t>
      </w:r>
      <w:r w:rsidR="00D44766" w:rsidRPr="00D44766">
        <w:rPr>
          <w:lang w:val="en-GB"/>
        </w:rPr>
        <w:t>a</w:t>
      </w:r>
      <w:r w:rsidR="002F25EB" w:rsidRPr="00D44766">
        <w:rPr>
          <w:lang w:val="en-GB"/>
        </w:rPr>
        <w:t xml:space="preserve"> beneficial effect on specific</w:t>
      </w:r>
      <w:r w:rsidR="00F56E85" w:rsidRPr="00D44766">
        <w:rPr>
          <w:lang w:val="en-GB"/>
        </w:rPr>
        <w:t xml:space="preserve"> individual</w:t>
      </w:r>
      <w:r w:rsidR="002F25EB" w:rsidRPr="00D44766">
        <w:rPr>
          <w:lang w:val="en-GB"/>
        </w:rPr>
        <w:t xml:space="preserve"> aspects of the tourism system but also on the </w:t>
      </w:r>
      <w:r w:rsidR="00A2358C" w:rsidRPr="00D44766">
        <w:rPr>
          <w:lang w:val="en-GB"/>
        </w:rPr>
        <w:t>entire system</w:t>
      </w:r>
      <w:r w:rsidR="002F25EB" w:rsidRPr="00D44766">
        <w:rPr>
          <w:lang w:val="en-GB"/>
        </w:rPr>
        <w:t xml:space="preserve"> as such</w:t>
      </w:r>
      <w:r w:rsidR="00D4267E" w:rsidRPr="00D44766">
        <w:rPr>
          <w:lang w:val="en-GB"/>
        </w:rPr>
        <w:t xml:space="preserve"> (</w:t>
      </w:r>
      <w:r w:rsidR="00D4267E" w:rsidRPr="00350D80">
        <w:rPr>
          <w:color w:val="00B050"/>
          <w:lang w:val="en-GB"/>
        </w:rPr>
        <w:t>Pompl, 1997</w:t>
      </w:r>
      <w:r w:rsidR="00D4267E" w:rsidRPr="00D44766">
        <w:rPr>
          <w:lang w:val="en-GB"/>
        </w:rPr>
        <w:t xml:space="preserve">; </w:t>
      </w:r>
      <w:r w:rsidR="00D4267E" w:rsidRPr="00350D80">
        <w:rPr>
          <w:color w:val="00B050"/>
          <w:lang w:val="en-GB"/>
        </w:rPr>
        <w:t>Frechtling, 2013</w:t>
      </w:r>
      <w:r w:rsidR="00D4267E" w:rsidRPr="00D44766">
        <w:rPr>
          <w:lang w:val="en-GB"/>
        </w:rPr>
        <w:t xml:space="preserve">; </w:t>
      </w:r>
      <w:r w:rsidR="00D4267E" w:rsidRPr="00350D80">
        <w:rPr>
          <w:color w:val="00B050"/>
          <w:lang w:val="en-GB"/>
        </w:rPr>
        <w:t>Sigala, 2020)</w:t>
      </w:r>
      <w:r w:rsidR="002F25EB" w:rsidRPr="00D44766">
        <w:rPr>
          <w:lang w:val="en-GB"/>
        </w:rPr>
        <w:t xml:space="preserve">. </w:t>
      </w:r>
    </w:p>
    <w:p w14:paraId="51E7BF7E" w14:textId="6703CAFA" w:rsidR="00661EAB" w:rsidRPr="00A67409" w:rsidRDefault="00A67409" w:rsidP="00A67409">
      <w:pPr>
        <w:pStyle w:val="berschrift2"/>
        <w:rPr>
          <w:lang w:val="en-GB"/>
        </w:rPr>
      </w:pPr>
      <w:bookmarkStart w:id="27" w:name="_Toc143330983"/>
      <w:bookmarkStart w:id="28" w:name="_Toc143361650"/>
      <w:r w:rsidRPr="00A67409">
        <w:rPr>
          <w:lang w:val="en-GB"/>
        </w:rPr>
        <w:t xml:space="preserve">2.3. </w:t>
      </w:r>
      <w:r w:rsidR="00661EAB" w:rsidRPr="00A67409">
        <w:rPr>
          <w:lang w:val="en-GB"/>
        </w:rPr>
        <w:t>Luxury Tourism and its characteristics</w:t>
      </w:r>
      <w:bookmarkEnd w:id="27"/>
      <w:bookmarkEnd w:id="28"/>
      <w:r w:rsidR="00661EAB" w:rsidRPr="00A67409">
        <w:rPr>
          <w:lang w:val="en-GB"/>
        </w:rPr>
        <w:t xml:space="preserve"> </w:t>
      </w:r>
    </w:p>
    <w:p w14:paraId="662953DD" w14:textId="19325B3C" w:rsidR="009E511D" w:rsidRPr="005067F4" w:rsidRDefault="00D13831" w:rsidP="00B7423B">
      <w:pPr>
        <w:contextualSpacing/>
        <w:rPr>
          <w:color w:val="000000" w:themeColor="text1"/>
          <w:lang w:val="en-GB"/>
        </w:rPr>
      </w:pPr>
      <w:r w:rsidRPr="00D44766">
        <w:rPr>
          <w:lang w:val="en-GB"/>
        </w:rPr>
        <w:t>Reflecting on the TO</w:t>
      </w:r>
      <w:r w:rsidR="00AD2A9F" w:rsidRPr="00D44766">
        <w:rPr>
          <w:lang w:val="en-GB"/>
        </w:rPr>
        <w:t>s</w:t>
      </w:r>
      <w:r w:rsidRPr="00D44766">
        <w:rPr>
          <w:lang w:val="en-GB"/>
        </w:rPr>
        <w:t xml:space="preserve"> on the Germanic-speaking market, </w:t>
      </w:r>
      <w:r w:rsidR="00B7423B">
        <w:rPr>
          <w:lang w:val="en-GB"/>
        </w:rPr>
        <w:t xml:space="preserve">there currently is a trend for specialist TOs focusing on the luxury segment. Over the last decades, the TO market has diversified </w:t>
      </w:r>
      <w:r w:rsidR="005A1FD0">
        <w:rPr>
          <w:lang w:val="en-GB"/>
        </w:rPr>
        <w:t>and by 2020</w:t>
      </w:r>
      <w:r w:rsidR="00E757EE">
        <w:rPr>
          <w:lang w:val="en-GB"/>
        </w:rPr>
        <w:t>,</w:t>
      </w:r>
      <w:r w:rsidR="005A1FD0">
        <w:rPr>
          <w:lang w:val="en-GB"/>
        </w:rPr>
        <w:t xml:space="preserve"> there were 2.300 TOs registered </w:t>
      </w:r>
      <w:r w:rsidR="00E757EE">
        <w:rPr>
          <w:lang w:val="en-GB"/>
        </w:rPr>
        <w:t xml:space="preserve">only </w:t>
      </w:r>
      <w:r w:rsidR="005A1FD0">
        <w:rPr>
          <w:lang w:val="en-GB"/>
        </w:rPr>
        <w:t>in Germany</w:t>
      </w:r>
      <w:r w:rsidR="00E757EE">
        <w:rPr>
          <w:lang w:val="en-GB"/>
        </w:rPr>
        <w:t xml:space="preserve"> (</w:t>
      </w:r>
      <w:r w:rsidR="00E757EE" w:rsidRPr="00821E2B">
        <w:rPr>
          <w:color w:val="70AD47" w:themeColor="accent6"/>
          <w:lang w:val="en-GB"/>
        </w:rPr>
        <w:t>DRV, 2021</w:t>
      </w:r>
      <w:r w:rsidR="00E757EE">
        <w:rPr>
          <w:lang w:val="en-GB"/>
        </w:rPr>
        <w:t>)</w:t>
      </w:r>
      <w:r w:rsidR="005A1FD0">
        <w:rPr>
          <w:lang w:val="en-GB"/>
        </w:rPr>
        <w:t>. N</w:t>
      </w:r>
      <w:r w:rsidR="00B7423B">
        <w:rPr>
          <w:lang w:val="en-GB"/>
        </w:rPr>
        <w:t xml:space="preserve">ew specialist and niche TOs have developed catering to other, more specific needs than the large TOs with a generalist approach selling pre-packaged trips to world-wide destinations like TUI, FTI </w:t>
      </w:r>
      <w:r w:rsidR="007734C5">
        <w:rPr>
          <w:lang w:val="en-GB"/>
        </w:rPr>
        <w:t xml:space="preserve">etc. </w:t>
      </w:r>
      <w:r w:rsidR="00B7423B">
        <w:rPr>
          <w:lang w:val="en-GB"/>
        </w:rPr>
        <w:t xml:space="preserve">cater for. Besides these, there are specialist TOs focusing on </w:t>
      </w:r>
      <w:r w:rsidRPr="00D44766">
        <w:rPr>
          <w:lang w:val="en-GB"/>
        </w:rPr>
        <w:t>so called study trips in groups or on a private basis</w:t>
      </w:r>
      <w:r w:rsidR="00A15401" w:rsidRPr="00D44766">
        <w:rPr>
          <w:lang w:val="en-GB"/>
        </w:rPr>
        <w:t xml:space="preserve">, </w:t>
      </w:r>
      <w:r w:rsidR="00B7423B">
        <w:rPr>
          <w:lang w:val="en-GB"/>
        </w:rPr>
        <w:t>or</w:t>
      </w:r>
      <w:r w:rsidR="00A15401" w:rsidRPr="00D44766">
        <w:rPr>
          <w:lang w:val="en-GB"/>
        </w:rPr>
        <w:t xml:space="preserve"> </w:t>
      </w:r>
      <w:r w:rsidRPr="00D44766">
        <w:rPr>
          <w:lang w:val="en-GB"/>
        </w:rPr>
        <w:t>destination specialist</w:t>
      </w:r>
      <w:r w:rsidR="00AD2A9F" w:rsidRPr="00D44766">
        <w:rPr>
          <w:lang w:val="en-GB"/>
        </w:rPr>
        <w:t>s</w:t>
      </w:r>
      <w:r w:rsidRPr="00D44766">
        <w:rPr>
          <w:lang w:val="en-GB"/>
        </w:rPr>
        <w:t xml:space="preserve"> – </w:t>
      </w:r>
      <w:r w:rsidR="00D44766" w:rsidRPr="00D44766">
        <w:rPr>
          <w:lang w:val="en-GB"/>
        </w:rPr>
        <w:t>e.g.,</w:t>
      </w:r>
      <w:r w:rsidRPr="00D44766">
        <w:rPr>
          <w:lang w:val="en-GB"/>
        </w:rPr>
        <w:t xml:space="preserve"> focusing on Southern and/or Eastern Africa</w:t>
      </w:r>
      <w:r w:rsidR="00AD2A9F" w:rsidRPr="00D44766">
        <w:rPr>
          <w:lang w:val="en-GB"/>
        </w:rPr>
        <w:t xml:space="preserve"> or South America only</w:t>
      </w:r>
      <w:r w:rsidRPr="00D44766">
        <w:rPr>
          <w:lang w:val="en-GB"/>
        </w:rPr>
        <w:t>.</w:t>
      </w:r>
      <w:r w:rsidR="00B7423B">
        <w:rPr>
          <w:lang w:val="en-GB"/>
        </w:rPr>
        <w:t xml:space="preserve"> One of the latest developments are TOs who are focusing on </w:t>
      </w:r>
      <w:r w:rsidRPr="00D44766">
        <w:rPr>
          <w:lang w:val="en-GB"/>
        </w:rPr>
        <w:t xml:space="preserve">selling luxury vacations only </w:t>
      </w:r>
      <w:r w:rsidR="00137CB1">
        <w:rPr>
          <w:lang w:val="en-GB"/>
        </w:rPr>
        <w:t>whereby targeting high net worth travellers</w:t>
      </w:r>
      <w:r w:rsidR="009E511D">
        <w:rPr>
          <w:lang w:val="en-GB"/>
        </w:rPr>
        <w:t xml:space="preserve">, whose </w:t>
      </w:r>
      <w:r w:rsidR="009E511D" w:rsidRPr="00D44766">
        <w:rPr>
          <w:lang w:val="en-GB"/>
        </w:rPr>
        <w:t>average spend</w:t>
      </w:r>
      <w:r w:rsidR="009E511D">
        <w:rPr>
          <w:lang w:val="en-GB"/>
        </w:rPr>
        <w:t>ing</w:t>
      </w:r>
      <w:r w:rsidR="009E511D" w:rsidRPr="00D44766">
        <w:rPr>
          <w:lang w:val="en-GB"/>
        </w:rPr>
        <w:t xml:space="preserve"> </w:t>
      </w:r>
      <w:r w:rsidR="009E511D">
        <w:rPr>
          <w:lang w:val="en-GB"/>
        </w:rPr>
        <w:t>are</w:t>
      </w:r>
      <w:r w:rsidR="009E511D" w:rsidRPr="00D44766">
        <w:rPr>
          <w:lang w:val="en-GB"/>
        </w:rPr>
        <w:t xml:space="preserve"> significantly above the average spend.</w:t>
      </w:r>
      <w:r w:rsidR="009E511D">
        <w:rPr>
          <w:lang w:val="en-GB"/>
        </w:rPr>
        <w:t xml:space="preserve"> </w:t>
      </w:r>
      <w:r w:rsidR="00137CB1">
        <w:rPr>
          <w:lang w:val="en-GB"/>
        </w:rPr>
        <w:t xml:space="preserve">According to the Global Wealth Report </w:t>
      </w:r>
      <w:r w:rsidR="009E511D">
        <w:rPr>
          <w:lang w:val="en-GB"/>
        </w:rPr>
        <w:t>(</w:t>
      </w:r>
      <w:r w:rsidR="009E511D" w:rsidRPr="009E511D">
        <w:rPr>
          <w:color w:val="70AD47" w:themeColor="accent6"/>
          <w:lang w:val="en-GB"/>
        </w:rPr>
        <w:t xml:space="preserve">Credit Suisse, </w:t>
      </w:r>
      <w:r w:rsidR="00137CB1" w:rsidRPr="009E511D">
        <w:rPr>
          <w:color w:val="70AD47" w:themeColor="accent6"/>
          <w:lang w:val="en-GB"/>
        </w:rPr>
        <w:t>2022</w:t>
      </w:r>
      <w:r w:rsidR="009E511D">
        <w:rPr>
          <w:lang w:val="en-GB"/>
        </w:rPr>
        <w:t xml:space="preserve">), the number of high-net-worth (assets holding equal to USD 1 million to USD 50 million) and ultra-high-net-worth (assets equal and above USD 50 million) is growing. </w:t>
      </w:r>
      <w:r w:rsidR="00AD2A9F" w:rsidRPr="009A1F3C">
        <w:rPr>
          <w:color w:val="00B050"/>
          <w:lang w:val="en-GB"/>
        </w:rPr>
        <w:t>Needham (2023</w:t>
      </w:r>
      <w:r w:rsidR="00AD2A9F" w:rsidRPr="00D44766">
        <w:rPr>
          <w:lang w:val="en-GB"/>
        </w:rPr>
        <w:t>)</w:t>
      </w:r>
      <w:r w:rsidR="009E511D">
        <w:rPr>
          <w:lang w:val="en-GB"/>
        </w:rPr>
        <w:t xml:space="preserve"> identifies that</w:t>
      </w:r>
      <w:r w:rsidR="00AD2A9F" w:rsidRPr="00D44766">
        <w:rPr>
          <w:lang w:val="en-GB"/>
        </w:rPr>
        <w:t xml:space="preserve"> the average spending</w:t>
      </w:r>
      <w:r w:rsidR="00566CF6" w:rsidRPr="00D44766">
        <w:rPr>
          <w:lang w:val="en-GB"/>
        </w:rPr>
        <w:t xml:space="preserve"> of German </w:t>
      </w:r>
      <w:r w:rsidR="00D8759A" w:rsidRPr="00D44766">
        <w:rPr>
          <w:lang w:val="en-GB"/>
        </w:rPr>
        <w:t>travellers</w:t>
      </w:r>
      <w:r w:rsidR="00566CF6" w:rsidRPr="00D44766">
        <w:rPr>
          <w:lang w:val="en-GB"/>
        </w:rPr>
        <w:t xml:space="preserve"> was at</w:t>
      </w:r>
      <w:r w:rsidR="007734C5">
        <w:rPr>
          <w:lang w:val="en-GB"/>
        </w:rPr>
        <w:t xml:space="preserve"> roughly</w:t>
      </w:r>
      <w:r w:rsidR="00566CF6" w:rsidRPr="00D44766">
        <w:rPr>
          <w:lang w:val="en-GB"/>
        </w:rPr>
        <w:t xml:space="preserve"> €1.350 per </w:t>
      </w:r>
      <w:r w:rsidR="00AD2A9F" w:rsidRPr="00D44766">
        <w:rPr>
          <w:lang w:val="en-GB"/>
        </w:rPr>
        <w:t>p</w:t>
      </w:r>
      <w:r w:rsidR="00566CF6" w:rsidRPr="00D44766">
        <w:rPr>
          <w:lang w:val="en-GB"/>
        </w:rPr>
        <w:t>erso</w:t>
      </w:r>
      <w:r w:rsidR="00AD2A9F" w:rsidRPr="00D44766">
        <w:rPr>
          <w:lang w:val="en-GB"/>
        </w:rPr>
        <w:t>n</w:t>
      </w:r>
      <w:r w:rsidR="00566CF6" w:rsidRPr="00D44766">
        <w:rPr>
          <w:lang w:val="en-GB"/>
        </w:rPr>
        <w:t xml:space="preserve"> for the main holiday</w:t>
      </w:r>
      <w:r w:rsidR="00D8759A">
        <w:rPr>
          <w:lang w:val="en-GB"/>
        </w:rPr>
        <w:t xml:space="preserve"> (which entails travelling for five or more days, </w:t>
      </w:r>
      <w:r w:rsidR="00D8759A" w:rsidRPr="00D8759A">
        <w:rPr>
          <w:color w:val="70AD47" w:themeColor="accent6"/>
          <w:lang w:val="en-GB"/>
        </w:rPr>
        <w:t>FUR 2023</w:t>
      </w:r>
      <w:r w:rsidR="00D8759A">
        <w:rPr>
          <w:lang w:val="en-GB"/>
        </w:rPr>
        <w:t>)</w:t>
      </w:r>
      <w:r w:rsidR="007734C5">
        <w:rPr>
          <w:lang w:val="en-GB"/>
        </w:rPr>
        <w:t xml:space="preserve"> in 2022</w:t>
      </w:r>
      <w:r w:rsidR="00AD2A9F" w:rsidRPr="00D44766">
        <w:rPr>
          <w:lang w:val="en-GB"/>
        </w:rPr>
        <w:t>.</w:t>
      </w:r>
      <w:r w:rsidR="00350D80">
        <w:rPr>
          <w:lang w:val="en-GB"/>
        </w:rPr>
        <w:t xml:space="preserve"> </w:t>
      </w:r>
      <w:r w:rsidR="00566CF6" w:rsidRPr="00D44766">
        <w:rPr>
          <w:lang w:val="en-GB"/>
        </w:rPr>
        <w:t xml:space="preserve">Following </w:t>
      </w:r>
      <w:r w:rsidR="00566CF6" w:rsidRPr="009A1F3C">
        <w:rPr>
          <w:color w:val="00B050"/>
          <w:lang w:val="en-GB"/>
        </w:rPr>
        <w:t>Moor (2023</w:t>
      </w:r>
      <w:r w:rsidR="00566CF6" w:rsidRPr="00D44766">
        <w:rPr>
          <w:lang w:val="en-GB"/>
        </w:rPr>
        <w:t>)</w:t>
      </w:r>
      <w:r w:rsidR="00E116F2" w:rsidRPr="00D44766">
        <w:rPr>
          <w:lang w:val="en-GB"/>
        </w:rPr>
        <w:t xml:space="preserve"> </w:t>
      </w:r>
      <w:r w:rsidR="00566CF6" w:rsidRPr="00D44766">
        <w:rPr>
          <w:lang w:val="en-GB"/>
        </w:rPr>
        <w:t xml:space="preserve">quoting </w:t>
      </w:r>
      <w:r w:rsidR="00344241" w:rsidRPr="00D44766">
        <w:rPr>
          <w:lang w:val="en-GB"/>
        </w:rPr>
        <w:t>from the annual Luxury Traveler Holiday Habits 2023</w:t>
      </w:r>
      <w:r w:rsidR="00AD2A9F" w:rsidRPr="00D44766">
        <w:rPr>
          <w:lang w:val="en-GB"/>
        </w:rPr>
        <w:t>,</w:t>
      </w:r>
      <w:r w:rsidR="00344241" w:rsidRPr="00D44766">
        <w:rPr>
          <w:lang w:val="en-GB"/>
        </w:rPr>
        <w:t xml:space="preserve"> the average spending for the summer holidays </w:t>
      </w:r>
      <w:r w:rsidR="00AD2A9F" w:rsidRPr="00D44766">
        <w:rPr>
          <w:lang w:val="en-GB"/>
        </w:rPr>
        <w:t xml:space="preserve">for a luxury </w:t>
      </w:r>
      <w:r w:rsidR="00D8759A" w:rsidRPr="00D44766">
        <w:rPr>
          <w:lang w:val="en-GB"/>
        </w:rPr>
        <w:t>traveller</w:t>
      </w:r>
      <w:r w:rsidR="00AD2A9F" w:rsidRPr="00D44766">
        <w:rPr>
          <w:lang w:val="en-GB"/>
        </w:rPr>
        <w:t xml:space="preserve"> </w:t>
      </w:r>
      <w:r w:rsidR="00344241" w:rsidRPr="00D44766">
        <w:rPr>
          <w:lang w:val="en-GB"/>
        </w:rPr>
        <w:t xml:space="preserve">is </w:t>
      </w:r>
      <w:r w:rsidR="00D8759A">
        <w:rPr>
          <w:lang w:val="en-GB"/>
        </w:rPr>
        <w:t>about</w:t>
      </w:r>
      <w:r w:rsidR="00344241" w:rsidRPr="00D44766">
        <w:rPr>
          <w:lang w:val="en-GB"/>
        </w:rPr>
        <w:t xml:space="preserve"> $8.000</w:t>
      </w:r>
      <w:r w:rsidR="00AD2A9F" w:rsidRPr="00D44766">
        <w:rPr>
          <w:lang w:val="en-GB"/>
        </w:rPr>
        <w:t xml:space="preserve"> (to date </w:t>
      </w:r>
      <w:r w:rsidR="00D8759A">
        <w:rPr>
          <w:lang w:val="en-GB"/>
        </w:rPr>
        <w:t>approximately</w:t>
      </w:r>
      <w:r w:rsidR="00AD2A9F" w:rsidRPr="00D44766">
        <w:rPr>
          <w:lang w:val="en-GB"/>
        </w:rPr>
        <w:t xml:space="preserve"> €7.300). Luxury </w:t>
      </w:r>
      <w:r w:rsidR="00D8759A" w:rsidRPr="00D44766">
        <w:rPr>
          <w:lang w:val="en-GB"/>
        </w:rPr>
        <w:t>travellers</w:t>
      </w:r>
      <w:r w:rsidR="00AD2A9F" w:rsidRPr="00D44766">
        <w:rPr>
          <w:lang w:val="en-GB"/>
        </w:rPr>
        <w:t xml:space="preserve"> tend on average </w:t>
      </w:r>
      <w:r w:rsidR="00A15401" w:rsidRPr="00D44766">
        <w:rPr>
          <w:lang w:val="en-GB"/>
        </w:rPr>
        <w:t xml:space="preserve">to </w:t>
      </w:r>
      <w:r w:rsidR="00AD2A9F" w:rsidRPr="00D44766">
        <w:rPr>
          <w:lang w:val="en-GB"/>
        </w:rPr>
        <w:t xml:space="preserve">go on three </w:t>
      </w:r>
      <w:r w:rsidR="00AD2A9F" w:rsidRPr="00D44766">
        <w:rPr>
          <w:lang w:val="en-GB"/>
        </w:rPr>
        <w:lastRenderedPageBreak/>
        <w:t xml:space="preserve">to four </w:t>
      </w:r>
      <w:r w:rsidR="00344241" w:rsidRPr="00D44766">
        <w:rPr>
          <w:lang w:val="en-GB"/>
        </w:rPr>
        <w:t xml:space="preserve">trips per year. </w:t>
      </w:r>
      <w:r w:rsidR="00E116F2" w:rsidRPr="00D44766">
        <w:rPr>
          <w:lang w:val="en-GB"/>
        </w:rPr>
        <w:t xml:space="preserve">Looking at ultra-luxury accommodation products rates can </w:t>
      </w:r>
      <w:r w:rsidR="00A01011" w:rsidRPr="00D44766">
        <w:rPr>
          <w:lang w:val="en-GB"/>
        </w:rPr>
        <w:t xml:space="preserve">easily </w:t>
      </w:r>
      <w:r w:rsidR="00E116F2" w:rsidRPr="00D44766">
        <w:rPr>
          <w:lang w:val="en-GB"/>
        </w:rPr>
        <w:t xml:space="preserve">go up to </w:t>
      </w:r>
      <w:r w:rsidR="00A01011" w:rsidRPr="00D44766">
        <w:rPr>
          <w:lang w:val="en-GB"/>
        </w:rPr>
        <w:t xml:space="preserve">a </w:t>
      </w:r>
      <w:r w:rsidR="00E116F2" w:rsidRPr="00D44766">
        <w:rPr>
          <w:lang w:val="en-GB"/>
        </w:rPr>
        <w:t xml:space="preserve">five-digit rate per </w:t>
      </w:r>
      <w:r w:rsidR="00AD2A9F" w:rsidRPr="00D44766">
        <w:rPr>
          <w:lang w:val="en-GB"/>
        </w:rPr>
        <w:t xml:space="preserve">person per </w:t>
      </w:r>
      <w:r w:rsidR="00E116F2" w:rsidRPr="00D44766">
        <w:rPr>
          <w:lang w:val="en-GB"/>
        </w:rPr>
        <w:t xml:space="preserve">night and even higher. </w:t>
      </w:r>
      <w:r w:rsidR="008C0929" w:rsidRPr="00D44766">
        <w:rPr>
          <w:lang w:val="en-GB"/>
        </w:rPr>
        <w:t>The luxury markets and amongst this luxury hospitality and tourism has experienced a continuous growth over the last years (</w:t>
      </w:r>
      <w:r w:rsidR="008C0929" w:rsidRPr="00A65040">
        <w:rPr>
          <w:color w:val="00B050"/>
          <w:lang w:val="en-GB"/>
        </w:rPr>
        <w:t>Heyes, 2021</w:t>
      </w:r>
      <w:r w:rsidR="008C0929" w:rsidRPr="00D44766">
        <w:rPr>
          <w:lang w:val="en-GB"/>
        </w:rPr>
        <w:t>)</w:t>
      </w:r>
      <w:r w:rsidR="00257400" w:rsidRPr="00D44766">
        <w:rPr>
          <w:lang w:val="en-GB"/>
        </w:rPr>
        <w:t xml:space="preserve">. </w:t>
      </w:r>
      <w:r w:rsidR="009E511D">
        <w:rPr>
          <w:lang w:val="en-GB"/>
        </w:rPr>
        <w:t>Despite that, there still is no generally accepted definition of the concept of luxury tourism or of a luxury traveller (Bakker, 2005).</w:t>
      </w:r>
      <w:r w:rsidR="00C620BD">
        <w:rPr>
          <w:lang w:val="en-GB"/>
        </w:rPr>
        <w:t xml:space="preserve"> In a systematic literature review on research about luxury tourism, Iloranta (2022) identified that the key factors describing luxury tourism are the tourism product and the tourism experience. Luxury tourism from a product point of view is defined via material features of the accommodation, its </w:t>
      </w:r>
      <w:r w:rsidR="00772226">
        <w:rPr>
          <w:lang w:val="en-GB"/>
        </w:rPr>
        <w:t>physical surroundings, aesthetics and atmosphere (Iloranta, 2022). From an experience point of view, it was described as ‘experiential, emotional, and hedonic, with high quality present in the overall performance. […] as unique, personalised, exclusive, memorable and holistic; with pampering, comfort and convenience being central for the customer.’ (Ilorant</w:t>
      </w:r>
      <w:r w:rsidR="00503E83">
        <w:rPr>
          <w:lang w:val="en-GB"/>
        </w:rPr>
        <w:t>a</w:t>
      </w:r>
      <w:r w:rsidR="00772226">
        <w:rPr>
          <w:lang w:val="en-GB"/>
        </w:rPr>
        <w:t xml:space="preserve">, 2022, p. 7). </w:t>
      </w:r>
      <w:r w:rsidR="002F29A1" w:rsidRPr="00A57C73">
        <w:rPr>
          <w:color w:val="70AD47" w:themeColor="accent6"/>
          <w:lang w:val="en-GB"/>
        </w:rPr>
        <w:t>Bosshart</w:t>
      </w:r>
      <w:r w:rsidR="00A57C73" w:rsidRPr="00A57C73">
        <w:rPr>
          <w:color w:val="70AD47" w:themeColor="accent6"/>
          <w:lang w:val="en-GB"/>
        </w:rPr>
        <w:t>, Gurzki, Hohn and Mei-Pochter</w:t>
      </w:r>
      <w:r w:rsidR="002F29A1" w:rsidRPr="00A57C73">
        <w:rPr>
          <w:color w:val="70AD47" w:themeColor="accent6"/>
          <w:lang w:val="en-GB"/>
        </w:rPr>
        <w:t xml:space="preserve"> (2020, p. 45</w:t>
      </w:r>
      <w:r w:rsidR="005067F4" w:rsidRPr="002F29A1">
        <w:rPr>
          <w:color w:val="000000" w:themeColor="text1"/>
          <w:lang w:val="en-GB"/>
        </w:rPr>
        <w:t>)</w:t>
      </w:r>
      <w:r w:rsidR="005067F4">
        <w:rPr>
          <w:color w:val="FF0000"/>
          <w:lang w:val="en-GB"/>
        </w:rPr>
        <w:t xml:space="preserve"> </w:t>
      </w:r>
      <w:r w:rsidR="002F29A1">
        <w:rPr>
          <w:color w:val="000000" w:themeColor="text1"/>
          <w:lang w:val="en-GB"/>
        </w:rPr>
        <w:t xml:space="preserve">describes luxury travel as combining ‘exclusive and unique experiences with personalized </w:t>
      </w:r>
      <w:r w:rsidR="00AA538D">
        <w:rPr>
          <w:color w:val="000000" w:themeColor="text1"/>
          <w:lang w:val="en-GB"/>
        </w:rPr>
        <w:t>services</w:t>
      </w:r>
      <w:r w:rsidR="002F29A1">
        <w:rPr>
          <w:color w:val="000000" w:themeColor="text1"/>
          <w:lang w:val="en-GB"/>
        </w:rPr>
        <w:t xml:space="preserve">. </w:t>
      </w:r>
      <w:r w:rsidR="002F29A1" w:rsidRPr="00821E2B">
        <w:rPr>
          <w:color w:val="000000" w:themeColor="text1"/>
          <w:lang w:val="en-GB"/>
        </w:rPr>
        <w:t xml:space="preserve">For the purpose of this paper, the author defines luxury tourism as an exclusive and personal </w:t>
      </w:r>
      <w:r w:rsidR="00CE151C" w:rsidRPr="00821E2B">
        <w:rPr>
          <w:color w:val="000000" w:themeColor="text1"/>
          <w:lang w:val="en-GB"/>
        </w:rPr>
        <w:t xml:space="preserve">leisure or adventure travel </w:t>
      </w:r>
      <w:r w:rsidR="002F29A1" w:rsidRPr="00821E2B">
        <w:rPr>
          <w:color w:val="000000" w:themeColor="text1"/>
          <w:lang w:val="en-GB"/>
        </w:rPr>
        <w:t>experience taking place in a unique physical s</w:t>
      </w:r>
      <w:r w:rsidR="00A711B8" w:rsidRPr="00821E2B">
        <w:rPr>
          <w:color w:val="000000" w:themeColor="text1"/>
          <w:lang w:val="en-GB"/>
        </w:rPr>
        <w:t>urrounding (environmentally as well as in terms of the tourism infrastructure)</w:t>
      </w:r>
      <w:r w:rsidR="0094362C" w:rsidRPr="00821E2B">
        <w:rPr>
          <w:color w:val="000000" w:themeColor="text1"/>
          <w:lang w:val="en-GB"/>
        </w:rPr>
        <w:t xml:space="preserve">. It entails an element of scarcity (therefore accessible to a selected few), comes </w:t>
      </w:r>
      <w:r w:rsidR="007F5299" w:rsidRPr="00821E2B">
        <w:rPr>
          <w:color w:val="000000" w:themeColor="text1"/>
          <w:lang w:val="en-GB"/>
        </w:rPr>
        <w:t xml:space="preserve">at </w:t>
      </w:r>
      <w:r w:rsidR="0094362C" w:rsidRPr="00821E2B">
        <w:rPr>
          <w:color w:val="000000" w:themeColor="text1"/>
          <w:lang w:val="en-GB"/>
        </w:rPr>
        <w:t>a premium price and can be seen as unattainable by many.</w:t>
      </w:r>
      <w:r w:rsidR="00A711B8">
        <w:rPr>
          <w:color w:val="000000" w:themeColor="text1"/>
          <w:lang w:val="en-GB"/>
        </w:rPr>
        <w:t xml:space="preserve"> </w:t>
      </w:r>
    </w:p>
    <w:p w14:paraId="1B2C473C" w14:textId="2E5CF80E" w:rsidR="00D31472" w:rsidRPr="00D44766" w:rsidRDefault="00F011D7" w:rsidP="00B7423B">
      <w:pPr>
        <w:contextualSpacing/>
        <w:rPr>
          <w:lang w:val="en-GB"/>
        </w:rPr>
      </w:pPr>
      <w:r w:rsidRPr="00D44766">
        <w:rPr>
          <w:lang w:val="en-GB"/>
        </w:rPr>
        <w:t>After the COVID-1</w:t>
      </w:r>
      <w:r w:rsidR="00AD2A9F" w:rsidRPr="00D44766">
        <w:rPr>
          <w:lang w:val="en-GB"/>
        </w:rPr>
        <w:t>9</w:t>
      </w:r>
      <w:r w:rsidRPr="00D44766">
        <w:rPr>
          <w:lang w:val="en-GB"/>
        </w:rPr>
        <w:t xml:space="preserve"> pandemic, the </w:t>
      </w:r>
      <w:r w:rsidR="00AD2A9F" w:rsidRPr="00D44766">
        <w:rPr>
          <w:lang w:val="en-GB"/>
        </w:rPr>
        <w:t xml:space="preserve">generic </w:t>
      </w:r>
      <w:r w:rsidRPr="00D44766">
        <w:rPr>
          <w:lang w:val="en-GB"/>
        </w:rPr>
        <w:t>global luxury goods market re-bounced strong with €1.4 trillion in sales (</w:t>
      </w:r>
      <w:r w:rsidRPr="004C4C38">
        <w:rPr>
          <w:color w:val="00B050"/>
          <w:lang w:val="en-GB"/>
        </w:rPr>
        <w:t>D’Arpizio</w:t>
      </w:r>
      <w:r w:rsidR="00D2058C">
        <w:rPr>
          <w:color w:val="00B050"/>
          <w:lang w:val="en-GB"/>
        </w:rPr>
        <w:t xml:space="preserve"> et al.</w:t>
      </w:r>
      <w:r w:rsidRPr="004C4C38">
        <w:rPr>
          <w:color w:val="00B050"/>
          <w:lang w:val="en-GB"/>
        </w:rPr>
        <w:t>, 2021</w:t>
      </w:r>
      <w:r w:rsidRPr="00D44766">
        <w:rPr>
          <w:lang w:val="en-GB"/>
        </w:rPr>
        <w:t xml:space="preserve">). </w:t>
      </w:r>
      <w:r w:rsidR="00257400" w:rsidRPr="00D44766">
        <w:rPr>
          <w:lang w:val="en-GB"/>
        </w:rPr>
        <w:t xml:space="preserve">According to </w:t>
      </w:r>
      <w:r w:rsidR="00257400" w:rsidRPr="004C4C38">
        <w:rPr>
          <w:color w:val="00B050"/>
          <w:lang w:val="en-GB"/>
        </w:rPr>
        <w:t>Peng and Cheng (2019a,b)</w:t>
      </w:r>
      <w:r w:rsidR="00CB6B28" w:rsidRPr="00D44766">
        <w:rPr>
          <w:lang w:val="en-GB"/>
        </w:rPr>
        <w:t xml:space="preserve"> </w:t>
      </w:r>
      <w:r w:rsidR="00CB6B28" w:rsidRPr="004C4C38">
        <w:rPr>
          <w:color w:val="00B050"/>
          <w:lang w:val="en-GB"/>
        </w:rPr>
        <w:t>and D’Arpizio</w:t>
      </w:r>
      <w:r w:rsidR="004C4C38" w:rsidRPr="004C4C38">
        <w:rPr>
          <w:color w:val="00B050"/>
          <w:lang w:val="en-GB"/>
        </w:rPr>
        <w:t>, Levato, Kamel and de Montgolfier</w:t>
      </w:r>
      <w:r w:rsidR="00CB6B28" w:rsidRPr="004C4C38">
        <w:rPr>
          <w:color w:val="00B050"/>
          <w:lang w:val="en-GB"/>
        </w:rPr>
        <w:t xml:space="preserve"> </w:t>
      </w:r>
      <w:r w:rsidR="004C4C38" w:rsidRPr="004C4C38">
        <w:rPr>
          <w:color w:val="00B050"/>
          <w:lang w:val="en-GB"/>
        </w:rPr>
        <w:t>(</w:t>
      </w:r>
      <w:r w:rsidR="00CB6B28" w:rsidRPr="004C4C38">
        <w:rPr>
          <w:color w:val="00B050"/>
          <w:lang w:val="en-GB"/>
        </w:rPr>
        <w:t>2017</w:t>
      </w:r>
      <w:r w:rsidR="004C4C38" w:rsidRPr="004C4C38">
        <w:rPr>
          <w:color w:val="00B050"/>
          <w:lang w:val="en-GB"/>
        </w:rPr>
        <w:t>)</w:t>
      </w:r>
      <w:r w:rsidR="00257400" w:rsidRPr="00D44766">
        <w:rPr>
          <w:lang w:val="en-GB"/>
        </w:rPr>
        <w:t xml:space="preserve"> the luxury hospitality segment account</w:t>
      </w:r>
      <w:r w:rsidR="00AD2A9F" w:rsidRPr="00D44766">
        <w:rPr>
          <w:lang w:val="en-GB"/>
        </w:rPr>
        <w:t>s</w:t>
      </w:r>
      <w:r w:rsidR="00257400" w:rsidRPr="00D44766">
        <w:rPr>
          <w:lang w:val="en-GB"/>
        </w:rPr>
        <w:t xml:space="preserve"> for one third of the global luxury goods industry. </w:t>
      </w:r>
      <w:r w:rsidR="00A01011" w:rsidRPr="00D44766">
        <w:rPr>
          <w:lang w:val="en-GB"/>
        </w:rPr>
        <w:t>Another estimation assumes</w:t>
      </w:r>
      <w:r w:rsidR="00257400" w:rsidRPr="00D44766">
        <w:rPr>
          <w:lang w:val="en-GB"/>
        </w:rPr>
        <w:t xml:space="preserve"> that the luxury hospitality market will reach a value of</w:t>
      </w:r>
      <w:r w:rsidR="00CB6B28" w:rsidRPr="00D44766">
        <w:rPr>
          <w:lang w:val="en-GB"/>
        </w:rPr>
        <w:t xml:space="preserve"> slightly over</w:t>
      </w:r>
      <w:r w:rsidR="00257400" w:rsidRPr="00D44766">
        <w:rPr>
          <w:lang w:val="en-GB"/>
        </w:rPr>
        <w:t xml:space="preserve"> $ </w:t>
      </w:r>
      <w:r w:rsidR="00CB6B28" w:rsidRPr="00D44766">
        <w:rPr>
          <w:lang w:val="en-GB"/>
        </w:rPr>
        <w:t xml:space="preserve">293 </w:t>
      </w:r>
      <w:r w:rsidR="00257400" w:rsidRPr="00D44766">
        <w:rPr>
          <w:lang w:val="en-GB"/>
        </w:rPr>
        <w:t>billion in 2024 on a global scale (</w:t>
      </w:r>
      <w:r w:rsidR="00CB6B28" w:rsidRPr="004C4C38">
        <w:rPr>
          <w:color w:val="00B050"/>
          <w:lang w:val="en-GB"/>
        </w:rPr>
        <w:t>Fortune Business Insight</w:t>
      </w:r>
      <w:r w:rsidR="004C4C38">
        <w:rPr>
          <w:color w:val="00B050"/>
          <w:lang w:val="en-GB"/>
        </w:rPr>
        <w:t>s</w:t>
      </w:r>
      <w:r w:rsidR="00CB6B28" w:rsidRPr="004C4C38">
        <w:rPr>
          <w:color w:val="00B050"/>
          <w:lang w:val="en-GB"/>
        </w:rPr>
        <w:t>, 2023</w:t>
      </w:r>
      <w:r w:rsidR="004C4C38" w:rsidRPr="004C4C38">
        <w:rPr>
          <w:color w:val="00B050"/>
          <w:lang w:val="en-GB"/>
        </w:rPr>
        <w:t>).</w:t>
      </w:r>
      <w:r w:rsidR="004C4C38">
        <w:rPr>
          <w:lang w:val="en-GB"/>
        </w:rPr>
        <w:t xml:space="preserve"> </w:t>
      </w:r>
      <w:r w:rsidR="0061520D" w:rsidRPr="00D44766">
        <w:rPr>
          <w:lang w:val="en-GB"/>
        </w:rPr>
        <w:t xml:space="preserve">Even though the luxury market and the luxury hospitality market </w:t>
      </w:r>
      <w:r w:rsidR="00A01011" w:rsidRPr="00D44766">
        <w:rPr>
          <w:lang w:val="en-GB"/>
        </w:rPr>
        <w:t>are</w:t>
      </w:r>
      <w:r w:rsidR="0061520D" w:rsidRPr="00D44766">
        <w:rPr>
          <w:lang w:val="en-GB"/>
        </w:rPr>
        <w:t xml:space="preserve"> growing</w:t>
      </w:r>
      <w:r w:rsidR="00AD2A9F" w:rsidRPr="00D44766">
        <w:rPr>
          <w:lang w:val="en-GB"/>
        </w:rPr>
        <w:t>,</w:t>
      </w:r>
      <w:r w:rsidR="0061520D" w:rsidRPr="00D44766">
        <w:rPr>
          <w:lang w:val="en-GB"/>
        </w:rPr>
        <w:t xml:space="preserve"> research so far has more concentrated on the retail aspect</w:t>
      </w:r>
      <w:r w:rsidR="00D8759A">
        <w:rPr>
          <w:lang w:val="en-GB"/>
        </w:rPr>
        <w:t xml:space="preserve">. </w:t>
      </w:r>
      <w:r w:rsidR="00675544">
        <w:rPr>
          <w:lang w:val="en-GB"/>
        </w:rPr>
        <w:t>Within the travel and tourism industry research is growing f</w:t>
      </w:r>
      <w:r w:rsidR="00D8759A">
        <w:rPr>
          <w:lang w:val="en-GB"/>
        </w:rPr>
        <w:t>ocus</w:t>
      </w:r>
      <w:r w:rsidR="00675544">
        <w:rPr>
          <w:lang w:val="en-GB"/>
        </w:rPr>
        <w:t>ing predominately</w:t>
      </w:r>
      <w:r w:rsidR="00D8759A">
        <w:rPr>
          <w:lang w:val="en-GB"/>
        </w:rPr>
        <w:t xml:space="preserve"> o</w:t>
      </w:r>
      <w:r w:rsidR="0061520D" w:rsidRPr="00D44766">
        <w:rPr>
          <w:lang w:val="en-GB"/>
        </w:rPr>
        <w:t>n the hospitality</w:t>
      </w:r>
      <w:r w:rsidR="00D8759A">
        <w:rPr>
          <w:lang w:val="en-GB"/>
        </w:rPr>
        <w:t xml:space="preserve"> sector</w:t>
      </w:r>
      <w:r w:rsidR="0061520D" w:rsidRPr="00D44766">
        <w:rPr>
          <w:lang w:val="en-GB"/>
        </w:rPr>
        <w:t xml:space="preserve"> and </w:t>
      </w:r>
      <w:r w:rsidR="00AD2A9F" w:rsidRPr="00D44766">
        <w:rPr>
          <w:lang w:val="en-GB"/>
        </w:rPr>
        <w:t xml:space="preserve">less on TOs </w:t>
      </w:r>
      <w:r w:rsidR="00D8759A">
        <w:rPr>
          <w:lang w:val="en-GB"/>
        </w:rPr>
        <w:t>within this luxury environment. However, there is a growing research attention nowadays towards</w:t>
      </w:r>
      <w:r w:rsidR="0061520D" w:rsidRPr="00D44766">
        <w:rPr>
          <w:lang w:val="en-GB"/>
        </w:rPr>
        <w:t xml:space="preserve"> luxury services (</w:t>
      </w:r>
      <w:r w:rsidR="0061520D" w:rsidRPr="004C4C38">
        <w:rPr>
          <w:color w:val="00B050"/>
          <w:lang w:val="en-GB"/>
        </w:rPr>
        <w:t>Heye</w:t>
      </w:r>
      <w:r w:rsidR="000155CD" w:rsidRPr="004C4C38">
        <w:rPr>
          <w:color w:val="00B050"/>
          <w:lang w:val="en-GB"/>
        </w:rPr>
        <w:t>s, 2021)</w:t>
      </w:r>
      <w:r w:rsidR="00B93200" w:rsidRPr="004C4C38">
        <w:rPr>
          <w:color w:val="00B050"/>
          <w:lang w:val="en-GB"/>
        </w:rPr>
        <w:t>.</w:t>
      </w:r>
      <w:r w:rsidR="0061520D" w:rsidRPr="00D44766">
        <w:rPr>
          <w:lang w:val="en-GB"/>
        </w:rPr>
        <w:t xml:space="preserve"> </w:t>
      </w:r>
    </w:p>
    <w:p w14:paraId="67701B71" w14:textId="77777777" w:rsidR="00BE7C79" w:rsidRDefault="00A01011" w:rsidP="00BE7C79">
      <w:pPr>
        <w:contextualSpacing/>
        <w:rPr>
          <w:lang w:val="en-GB"/>
        </w:rPr>
      </w:pPr>
      <w:r w:rsidRPr="00D44766">
        <w:rPr>
          <w:lang w:val="en-GB"/>
        </w:rPr>
        <w:t>T</w:t>
      </w:r>
      <w:r w:rsidR="00E116F2" w:rsidRPr="00D44766">
        <w:rPr>
          <w:lang w:val="en-GB"/>
        </w:rPr>
        <w:t xml:space="preserve">heorizing luxury and giving it one set definition seems to be rather hard due to its </w:t>
      </w:r>
      <w:r w:rsidR="00D44766" w:rsidRPr="00D44766">
        <w:rPr>
          <w:lang w:val="en-GB"/>
        </w:rPr>
        <w:t>complex</w:t>
      </w:r>
      <w:r w:rsidR="00E116F2" w:rsidRPr="00D44766">
        <w:rPr>
          <w:lang w:val="en-GB"/>
        </w:rPr>
        <w:t xml:space="preserve"> nature and </w:t>
      </w:r>
      <w:r w:rsidRPr="00D44766">
        <w:rPr>
          <w:lang w:val="en-GB"/>
        </w:rPr>
        <w:t xml:space="preserve">due to </w:t>
      </w:r>
      <w:r w:rsidR="00E116F2" w:rsidRPr="00D44766">
        <w:rPr>
          <w:lang w:val="en-GB"/>
        </w:rPr>
        <w:t xml:space="preserve">the fact that luxury is a highly subjective construct </w:t>
      </w:r>
      <w:r w:rsidR="00E116F2" w:rsidRPr="004C4C38">
        <w:rPr>
          <w:color w:val="00B050"/>
          <w:lang w:val="en-GB"/>
        </w:rPr>
        <w:t>(Heyes, 202</w:t>
      </w:r>
      <w:r w:rsidR="00E86674" w:rsidRPr="004C4C38">
        <w:rPr>
          <w:color w:val="00B050"/>
          <w:lang w:val="en-GB"/>
        </w:rPr>
        <w:t>1</w:t>
      </w:r>
      <w:r w:rsidR="008C0929" w:rsidRPr="00D44766">
        <w:rPr>
          <w:lang w:val="en-GB"/>
        </w:rPr>
        <w:t xml:space="preserve">; </w:t>
      </w:r>
      <w:r w:rsidR="008C0929" w:rsidRPr="004C4C38">
        <w:rPr>
          <w:color w:val="00B050"/>
          <w:lang w:val="en-GB"/>
        </w:rPr>
        <w:t>Yang and Mattila,</w:t>
      </w:r>
      <w:r w:rsidR="004C4C38" w:rsidRPr="004C4C38">
        <w:rPr>
          <w:color w:val="00B050"/>
          <w:lang w:val="en-GB"/>
        </w:rPr>
        <w:t xml:space="preserve"> </w:t>
      </w:r>
      <w:r w:rsidR="008C0929" w:rsidRPr="004C4C38">
        <w:rPr>
          <w:color w:val="00B050"/>
          <w:lang w:val="en-GB"/>
        </w:rPr>
        <w:t>2016</w:t>
      </w:r>
      <w:r w:rsidR="00E116F2" w:rsidRPr="00D44766">
        <w:rPr>
          <w:lang w:val="en-GB"/>
        </w:rPr>
        <w:t>)</w:t>
      </w:r>
      <w:r w:rsidR="008C0929" w:rsidRPr="00D44766">
        <w:rPr>
          <w:lang w:val="en-GB"/>
        </w:rPr>
        <w:t>.</w:t>
      </w:r>
      <w:r w:rsidR="00B93200" w:rsidRPr="00D44766">
        <w:rPr>
          <w:lang w:val="en-GB"/>
        </w:rPr>
        <w:t xml:space="preserve"> </w:t>
      </w:r>
      <w:r w:rsidR="003D5656" w:rsidRPr="00D44766">
        <w:rPr>
          <w:lang w:val="en-GB"/>
        </w:rPr>
        <w:t>A luxury product/service for one person might as well be</w:t>
      </w:r>
      <w:r w:rsidR="00B93200" w:rsidRPr="00D44766">
        <w:rPr>
          <w:lang w:val="en-GB"/>
        </w:rPr>
        <w:t xml:space="preserve"> just another</w:t>
      </w:r>
      <w:r w:rsidR="003D5656" w:rsidRPr="00D44766">
        <w:rPr>
          <w:lang w:val="en-GB"/>
        </w:rPr>
        <w:t xml:space="preserve"> ordinary product for another person – </w:t>
      </w:r>
      <w:r w:rsidR="00B93200" w:rsidRPr="00D44766">
        <w:rPr>
          <w:lang w:val="en-GB"/>
        </w:rPr>
        <w:t xml:space="preserve">evaluating what luxury is, is </w:t>
      </w:r>
      <w:r w:rsidR="003D5656" w:rsidRPr="00D44766">
        <w:rPr>
          <w:lang w:val="en-GB"/>
        </w:rPr>
        <w:t xml:space="preserve">a matter of degree </w:t>
      </w:r>
      <w:r w:rsidR="00B93200" w:rsidRPr="00D44766">
        <w:rPr>
          <w:lang w:val="en-GB"/>
        </w:rPr>
        <w:t xml:space="preserve">highly </w:t>
      </w:r>
      <w:r w:rsidR="003D5656" w:rsidRPr="00D44766">
        <w:rPr>
          <w:lang w:val="en-GB"/>
        </w:rPr>
        <w:t>dependent on the judgement of the individual (</w:t>
      </w:r>
      <w:r w:rsidR="003D5656" w:rsidRPr="004C4C38">
        <w:rPr>
          <w:color w:val="00B050"/>
          <w:lang w:val="en-GB"/>
        </w:rPr>
        <w:t xml:space="preserve">Miller and Mills, 2012; </w:t>
      </w:r>
      <w:r w:rsidR="00BC5879" w:rsidRPr="004C4C38">
        <w:rPr>
          <w:rFonts w:cs="Times New Roman"/>
          <w:color w:val="00B050"/>
          <w:szCs w:val="24"/>
          <w:shd w:val="clear" w:color="auto" w:fill="FFFFFF"/>
          <w:lang w:val="en-GB"/>
        </w:rPr>
        <w:t>Tynan, McKechnie and Chhuon</w:t>
      </w:r>
      <w:r w:rsidR="003D5656" w:rsidRPr="004C4C38">
        <w:rPr>
          <w:color w:val="00B050"/>
          <w:lang w:val="en-GB"/>
        </w:rPr>
        <w:t>, 2010</w:t>
      </w:r>
      <w:r w:rsidR="003D5656" w:rsidRPr="00D44766">
        <w:rPr>
          <w:lang w:val="en-GB"/>
        </w:rPr>
        <w:t xml:space="preserve">; </w:t>
      </w:r>
      <w:r w:rsidR="003D5656" w:rsidRPr="00723F9D">
        <w:rPr>
          <w:color w:val="00B050"/>
          <w:lang w:val="en-GB"/>
        </w:rPr>
        <w:t>Vigneron and Johnson, 2004</w:t>
      </w:r>
      <w:r w:rsidR="003D5656" w:rsidRPr="00D44766">
        <w:rPr>
          <w:lang w:val="en-GB"/>
        </w:rPr>
        <w:t>).</w:t>
      </w:r>
      <w:r w:rsidR="008C0929" w:rsidRPr="00D44766">
        <w:rPr>
          <w:lang w:val="en-GB"/>
        </w:rPr>
        <w:t xml:space="preserve"> </w:t>
      </w:r>
      <w:r w:rsidR="00B93200" w:rsidRPr="00D44766">
        <w:rPr>
          <w:lang w:val="en-GB"/>
        </w:rPr>
        <w:t xml:space="preserve">Products are usually labelled with the addition </w:t>
      </w:r>
      <w:r w:rsidR="005B1416">
        <w:rPr>
          <w:lang w:val="en-GB"/>
        </w:rPr>
        <w:lastRenderedPageBreak/>
        <w:t>“</w:t>
      </w:r>
      <w:r w:rsidR="00B93200" w:rsidRPr="00D44766">
        <w:rPr>
          <w:lang w:val="en-GB"/>
        </w:rPr>
        <w:t>l</w:t>
      </w:r>
      <w:r w:rsidR="000155CD" w:rsidRPr="00D44766">
        <w:rPr>
          <w:lang w:val="en-GB"/>
        </w:rPr>
        <w:t>uxury</w:t>
      </w:r>
      <w:r w:rsidR="005B1416">
        <w:rPr>
          <w:lang w:val="en-GB"/>
        </w:rPr>
        <w:t>”</w:t>
      </w:r>
      <w:r w:rsidR="000155CD" w:rsidRPr="00D44766">
        <w:rPr>
          <w:lang w:val="en-GB"/>
        </w:rPr>
        <w:t xml:space="preserve"> by brand/marketers to convey a certain message about the tier the product ranges in</w:t>
      </w:r>
      <w:r w:rsidR="00B93200" w:rsidRPr="00D44766">
        <w:rPr>
          <w:lang w:val="en-GB"/>
        </w:rPr>
        <w:t xml:space="preserve"> and in</w:t>
      </w:r>
      <w:r w:rsidR="000155CD" w:rsidRPr="00D44766">
        <w:rPr>
          <w:lang w:val="en-GB"/>
        </w:rPr>
        <w:t xml:space="preserve"> order </w:t>
      </w:r>
      <w:r w:rsidR="00B93200" w:rsidRPr="00D44766">
        <w:rPr>
          <w:lang w:val="en-GB"/>
        </w:rPr>
        <w:t xml:space="preserve">to persuade </w:t>
      </w:r>
      <w:r w:rsidR="000155CD" w:rsidRPr="00D44766">
        <w:rPr>
          <w:lang w:val="en-GB"/>
        </w:rPr>
        <w:t>clients to pay a premium price</w:t>
      </w:r>
      <w:r w:rsidR="00B93200" w:rsidRPr="00D44766">
        <w:rPr>
          <w:lang w:val="en-GB"/>
        </w:rPr>
        <w:t xml:space="preserve"> for this product</w:t>
      </w:r>
      <w:r w:rsidR="000155CD" w:rsidRPr="00D44766">
        <w:rPr>
          <w:lang w:val="en-GB"/>
        </w:rPr>
        <w:t xml:space="preserve">. A definition of luxury products </w:t>
      </w:r>
      <w:r w:rsidR="00675544">
        <w:rPr>
          <w:lang w:val="en-GB"/>
        </w:rPr>
        <w:t>i</w:t>
      </w:r>
      <w:r w:rsidR="000155CD" w:rsidRPr="00D44766">
        <w:rPr>
          <w:lang w:val="en-GB"/>
        </w:rPr>
        <w:t xml:space="preserve">s offered by </w:t>
      </w:r>
      <w:r w:rsidR="00BC5879" w:rsidRPr="00723F9D">
        <w:rPr>
          <w:rFonts w:cs="Times New Roman"/>
          <w:color w:val="00B050"/>
          <w:szCs w:val="24"/>
          <w:shd w:val="clear" w:color="auto" w:fill="FFFFFF"/>
          <w:lang w:val="en-GB"/>
        </w:rPr>
        <w:t>Tynan, McKechnie and Chhuon</w:t>
      </w:r>
      <w:r w:rsidR="000155CD" w:rsidRPr="00723F9D">
        <w:rPr>
          <w:color w:val="00B050"/>
          <w:lang w:val="en-GB"/>
        </w:rPr>
        <w:t xml:space="preserve"> (2010</w:t>
      </w:r>
      <w:r w:rsidR="00723F9D">
        <w:rPr>
          <w:lang w:val="en-GB"/>
        </w:rPr>
        <w:t>)</w:t>
      </w:r>
      <w:r w:rsidR="003B278F">
        <w:rPr>
          <w:lang w:val="en-GB"/>
        </w:rPr>
        <w:t>. They</w:t>
      </w:r>
      <w:r w:rsidR="000155CD" w:rsidRPr="00D44766">
        <w:rPr>
          <w:lang w:val="en-GB"/>
        </w:rPr>
        <w:t xml:space="preserve"> describe them as ‘high quality</w:t>
      </w:r>
      <w:r w:rsidR="003D5656" w:rsidRPr="00D44766">
        <w:rPr>
          <w:lang w:val="en-GB"/>
        </w:rPr>
        <w:t xml:space="preserve">, expensive and non-essential products and services that appear to be rare, exclusive, prestigious, authentic and offer </w:t>
      </w:r>
      <w:r w:rsidR="00A2358C" w:rsidRPr="00D44766">
        <w:rPr>
          <w:lang w:val="en-GB"/>
        </w:rPr>
        <w:t>elevated levels</w:t>
      </w:r>
      <w:r w:rsidR="003D5656" w:rsidRPr="00D44766">
        <w:rPr>
          <w:lang w:val="en-GB"/>
        </w:rPr>
        <w:t xml:space="preserve"> of symbolic and emotional/hedonic values through customer </w:t>
      </w:r>
      <w:r w:rsidR="00D44766" w:rsidRPr="00D44766">
        <w:rPr>
          <w:lang w:val="en-GB"/>
        </w:rPr>
        <w:t>experiences</w:t>
      </w:r>
      <w:r w:rsidR="00723F9D">
        <w:rPr>
          <w:lang w:val="en-GB"/>
        </w:rPr>
        <w:t>’ (</w:t>
      </w:r>
      <w:r w:rsidR="003B278F" w:rsidRPr="00723F9D">
        <w:rPr>
          <w:rFonts w:cs="Times New Roman"/>
          <w:color w:val="00B050"/>
          <w:szCs w:val="24"/>
          <w:shd w:val="clear" w:color="auto" w:fill="FFFFFF"/>
          <w:lang w:val="en-GB"/>
        </w:rPr>
        <w:t>Tynan, McKechnie and Chhuon</w:t>
      </w:r>
      <w:r w:rsidR="003B278F" w:rsidRPr="00723F9D">
        <w:rPr>
          <w:color w:val="00B050"/>
          <w:lang w:val="en-GB"/>
        </w:rPr>
        <w:t xml:space="preserve"> (2010</w:t>
      </w:r>
      <w:r w:rsidR="003B278F">
        <w:rPr>
          <w:color w:val="00B050"/>
          <w:lang w:val="en-GB"/>
        </w:rPr>
        <w:t xml:space="preserve">, </w:t>
      </w:r>
      <w:r w:rsidR="00723F9D" w:rsidRPr="00D44766">
        <w:rPr>
          <w:lang w:val="en-GB"/>
        </w:rPr>
        <w:t>p. 1158</w:t>
      </w:r>
      <w:r w:rsidR="00723F9D">
        <w:rPr>
          <w:lang w:val="en-GB"/>
        </w:rPr>
        <w:t>)</w:t>
      </w:r>
      <w:r w:rsidR="003D5656" w:rsidRPr="00D44766">
        <w:rPr>
          <w:lang w:val="en-GB"/>
        </w:rPr>
        <w:t xml:space="preserve">. </w:t>
      </w:r>
      <w:r w:rsidR="00837085" w:rsidRPr="00723F9D">
        <w:rPr>
          <w:color w:val="00B050"/>
          <w:lang w:val="en-GB"/>
        </w:rPr>
        <w:t>Kapferer, Klippert and Leproux (2013</w:t>
      </w:r>
      <w:r w:rsidR="00723F9D">
        <w:rPr>
          <w:lang w:val="en-GB"/>
        </w:rPr>
        <w:t>)</w:t>
      </w:r>
      <w:r w:rsidR="00837085" w:rsidRPr="00D44766">
        <w:rPr>
          <w:lang w:val="en-GB"/>
        </w:rPr>
        <w:t xml:space="preserve"> give a shorter definition: </w:t>
      </w:r>
      <w:r w:rsidR="00B93200" w:rsidRPr="00D44766">
        <w:rPr>
          <w:lang w:val="en-GB"/>
        </w:rPr>
        <w:t>‘</w:t>
      </w:r>
      <w:r w:rsidR="00837085" w:rsidRPr="00D44766">
        <w:rPr>
          <w:lang w:val="en-GB"/>
        </w:rPr>
        <w:t>[…] luxury refers to rare, hedonic objects and experiences beyond the necessities of life, therefore affordable to mostly to those who have surplus money.’</w:t>
      </w:r>
      <w:r w:rsidR="00723F9D" w:rsidRPr="00723F9D">
        <w:rPr>
          <w:lang w:val="en-GB"/>
        </w:rPr>
        <w:t xml:space="preserve"> </w:t>
      </w:r>
      <w:r w:rsidR="00723F9D">
        <w:rPr>
          <w:lang w:val="en-GB"/>
        </w:rPr>
        <w:t>(</w:t>
      </w:r>
      <w:r w:rsidR="00723F9D" w:rsidRPr="00D44766">
        <w:rPr>
          <w:lang w:val="en-GB"/>
        </w:rPr>
        <w:t>p. 2)</w:t>
      </w:r>
      <w:r w:rsidR="00837085" w:rsidRPr="00D44766">
        <w:rPr>
          <w:lang w:val="en-GB"/>
        </w:rPr>
        <w:t xml:space="preserve">. </w:t>
      </w:r>
      <w:r w:rsidR="00B93200" w:rsidRPr="00D44766">
        <w:rPr>
          <w:lang w:val="en-GB"/>
        </w:rPr>
        <w:t xml:space="preserve">Both </w:t>
      </w:r>
      <w:r w:rsidR="00E239E1" w:rsidRPr="00D44766">
        <w:rPr>
          <w:lang w:val="en-GB"/>
        </w:rPr>
        <w:t>definitions</w:t>
      </w:r>
      <w:r w:rsidR="00B93200" w:rsidRPr="00D44766">
        <w:rPr>
          <w:lang w:val="en-GB"/>
        </w:rPr>
        <w:t xml:space="preserve"> have in common that luxury products appeal to the hedonistic value of consumers and that these products are actually not necessary for the </w:t>
      </w:r>
      <w:r w:rsidR="005B1416">
        <w:rPr>
          <w:lang w:val="en-GB"/>
        </w:rPr>
        <w:t>individual</w:t>
      </w:r>
      <w:r w:rsidR="00B93200" w:rsidRPr="00D44766">
        <w:rPr>
          <w:lang w:val="en-GB"/>
        </w:rPr>
        <w:t xml:space="preserve">. But as well as luxury, hedonistic values and the perception about what is actually necessary varies again from individual to individual. Also looking at </w:t>
      </w:r>
      <w:r w:rsidR="00B93200" w:rsidRPr="00723F9D">
        <w:rPr>
          <w:color w:val="00B050"/>
          <w:lang w:val="en-GB"/>
        </w:rPr>
        <w:t>Kapferer</w:t>
      </w:r>
      <w:r w:rsidR="00723F9D" w:rsidRPr="00723F9D">
        <w:rPr>
          <w:color w:val="00B050"/>
          <w:lang w:val="en-GB"/>
        </w:rPr>
        <w:t>, Klippert and Leproux (2013</w:t>
      </w:r>
      <w:r w:rsidR="00723F9D">
        <w:rPr>
          <w:lang w:val="en-GB"/>
        </w:rPr>
        <w:t>)</w:t>
      </w:r>
      <w:r w:rsidR="00B93200" w:rsidRPr="00D44766">
        <w:rPr>
          <w:lang w:val="en-GB"/>
        </w:rPr>
        <w:t xml:space="preserve"> definition</w:t>
      </w:r>
      <w:r w:rsidR="00723F9D">
        <w:rPr>
          <w:lang w:val="en-GB"/>
        </w:rPr>
        <w:t xml:space="preserve"> above</w:t>
      </w:r>
      <w:r w:rsidR="00837085" w:rsidRPr="00D44766">
        <w:rPr>
          <w:lang w:val="en-GB"/>
        </w:rPr>
        <w:t>, the surplus money obviously can vary tremendously between individuals highlighting</w:t>
      </w:r>
      <w:r w:rsidR="00B93200" w:rsidRPr="00D44766">
        <w:rPr>
          <w:lang w:val="en-GB"/>
        </w:rPr>
        <w:t xml:space="preserve"> again that not only on a perception basis but also on a monetary basis</w:t>
      </w:r>
      <w:r w:rsidR="00837085" w:rsidRPr="00D44766">
        <w:rPr>
          <w:lang w:val="en-GB"/>
        </w:rPr>
        <w:t xml:space="preserve"> luxury is a highly subjective construct.</w:t>
      </w:r>
      <w:r w:rsidRPr="00D44766">
        <w:rPr>
          <w:lang w:val="en-GB"/>
        </w:rPr>
        <w:t xml:space="preserve"> Therefore, circling back to the average spend on holiday – for some </w:t>
      </w:r>
      <w:r w:rsidR="003B278F" w:rsidRPr="00D44766">
        <w:rPr>
          <w:lang w:val="en-GB"/>
        </w:rPr>
        <w:t>travellers</w:t>
      </w:r>
      <w:r w:rsidRPr="00D44766">
        <w:rPr>
          <w:lang w:val="en-GB"/>
        </w:rPr>
        <w:t xml:space="preserve"> €1.350 are surplus money whereas for others it is €7.300</w:t>
      </w:r>
      <w:r w:rsidR="00837085" w:rsidRPr="00D44766">
        <w:rPr>
          <w:lang w:val="en-GB"/>
        </w:rPr>
        <w:t xml:space="preserve"> </w:t>
      </w:r>
      <w:r w:rsidRPr="00D44766">
        <w:rPr>
          <w:lang w:val="en-GB"/>
        </w:rPr>
        <w:t xml:space="preserve">which can easily be spend on a holiday – making it a luxurious experience for both whatsoever. </w:t>
      </w:r>
      <w:r w:rsidR="00A00860" w:rsidRPr="00D44766">
        <w:rPr>
          <w:lang w:val="en-GB"/>
        </w:rPr>
        <w:t>Despite various connotation</w:t>
      </w:r>
      <w:r w:rsidR="00A36583" w:rsidRPr="00D44766">
        <w:rPr>
          <w:lang w:val="en-GB"/>
        </w:rPr>
        <w:t>s</w:t>
      </w:r>
      <w:r w:rsidR="00A00860" w:rsidRPr="00D44766">
        <w:rPr>
          <w:lang w:val="en-GB"/>
        </w:rPr>
        <w:t xml:space="preserve"> and different definitions</w:t>
      </w:r>
      <w:r w:rsidRPr="00D44766">
        <w:rPr>
          <w:lang w:val="en-GB"/>
        </w:rPr>
        <w:t xml:space="preserve"> of luxury</w:t>
      </w:r>
      <w:r w:rsidR="00A36583" w:rsidRPr="00D44766">
        <w:rPr>
          <w:lang w:val="en-GB"/>
        </w:rPr>
        <w:t>,</w:t>
      </w:r>
      <w:r w:rsidR="00A00860" w:rsidRPr="00D44766">
        <w:rPr>
          <w:lang w:val="en-GB"/>
        </w:rPr>
        <w:t xml:space="preserve"> academics agree that luxury products/services are all associated to aspects of quality, high-prices, uniqueness, scarcity/limited access, self-pleasure and non-necessity (</w:t>
      </w:r>
      <w:r w:rsidR="00A00860" w:rsidRPr="00723F9D">
        <w:rPr>
          <w:color w:val="00B050"/>
          <w:lang w:val="en-GB"/>
        </w:rPr>
        <w:t>Dubo</w:t>
      </w:r>
      <w:r w:rsidR="00B82CD1">
        <w:rPr>
          <w:color w:val="00B050"/>
          <w:lang w:val="en-GB"/>
        </w:rPr>
        <w:t>i</w:t>
      </w:r>
      <w:r w:rsidR="00A00860" w:rsidRPr="00723F9D">
        <w:rPr>
          <w:color w:val="00B050"/>
          <w:lang w:val="en-GB"/>
        </w:rPr>
        <w:t>s and Laurent, 1994</w:t>
      </w:r>
      <w:r w:rsidR="00723F9D" w:rsidRPr="00723F9D">
        <w:rPr>
          <w:color w:val="00B050"/>
          <w:lang w:val="en-GB"/>
        </w:rPr>
        <w:t>;</w:t>
      </w:r>
      <w:r w:rsidR="00A00860" w:rsidRPr="00723F9D">
        <w:rPr>
          <w:color w:val="00B050"/>
          <w:lang w:val="en-GB"/>
        </w:rPr>
        <w:t xml:space="preserve"> Dubo</w:t>
      </w:r>
      <w:r w:rsidR="00B82CD1">
        <w:rPr>
          <w:color w:val="00B050"/>
          <w:lang w:val="en-GB"/>
        </w:rPr>
        <w:t>i</w:t>
      </w:r>
      <w:r w:rsidR="00A00860" w:rsidRPr="00723F9D">
        <w:rPr>
          <w:color w:val="00B050"/>
          <w:lang w:val="en-GB"/>
        </w:rPr>
        <w:t>s and Paterna</w:t>
      </w:r>
      <w:r w:rsidR="009B44C1" w:rsidRPr="00723F9D">
        <w:rPr>
          <w:color w:val="00B050"/>
          <w:lang w:val="en-GB"/>
        </w:rPr>
        <w:t>u</w:t>
      </w:r>
      <w:r w:rsidR="00A00860" w:rsidRPr="00723F9D">
        <w:rPr>
          <w:color w:val="00B050"/>
          <w:lang w:val="en-GB"/>
        </w:rPr>
        <w:t>lt, 1995</w:t>
      </w:r>
      <w:r w:rsidR="00A00860" w:rsidRPr="00D44766">
        <w:rPr>
          <w:lang w:val="en-GB"/>
        </w:rPr>
        <w:t xml:space="preserve">; </w:t>
      </w:r>
      <w:r w:rsidR="00A00860" w:rsidRPr="00951D12">
        <w:rPr>
          <w:color w:val="00B050"/>
          <w:lang w:val="en-GB"/>
        </w:rPr>
        <w:t>Dub</w:t>
      </w:r>
      <w:r w:rsidR="00503E83">
        <w:rPr>
          <w:color w:val="00B050"/>
          <w:lang w:val="en-GB"/>
        </w:rPr>
        <w:t>oi</w:t>
      </w:r>
      <w:r w:rsidR="00A00860" w:rsidRPr="00951D12">
        <w:rPr>
          <w:color w:val="00B050"/>
          <w:lang w:val="en-GB"/>
        </w:rPr>
        <w:t>s</w:t>
      </w:r>
      <w:r w:rsidR="00723F9D" w:rsidRPr="00951D12">
        <w:rPr>
          <w:color w:val="00B050"/>
          <w:lang w:val="en-GB"/>
        </w:rPr>
        <w:t>, Lauren and Czellar</w:t>
      </w:r>
      <w:r w:rsidR="00A00860" w:rsidRPr="00951D12">
        <w:rPr>
          <w:color w:val="00B050"/>
          <w:lang w:val="en-GB"/>
        </w:rPr>
        <w:t>, 2001</w:t>
      </w:r>
      <w:r w:rsidR="00A00860" w:rsidRPr="00D44766">
        <w:rPr>
          <w:lang w:val="en-GB"/>
        </w:rPr>
        <w:t xml:space="preserve">; </w:t>
      </w:r>
      <w:r w:rsidR="00A00860" w:rsidRPr="00951D12">
        <w:rPr>
          <w:color w:val="00B050"/>
          <w:lang w:val="en-GB"/>
        </w:rPr>
        <w:t>De Barnie</w:t>
      </w:r>
      <w:r w:rsidR="00951D12" w:rsidRPr="00951D12">
        <w:rPr>
          <w:color w:val="00B050"/>
          <w:lang w:val="en-GB"/>
        </w:rPr>
        <w:t>r, Rodina and Valette-Florence</w:t>
      </w:r>
      <w:r w:rsidR="00A00860" w:rsidRPr="00951D12">
        <w:rPr>
          <w:color w:val="00B050"/>
          <w:lang w:val="en-GB"/>
        </w:rPr>
        <w:t>, 2006</w:t>
      </w:r>
      <w:r w:rsidR="00A00860" w:rsidRPr="00D44766">
        <w:rPr>
          <w:lang w:val="en-GB"/>
        </w:rPr>
        <w:t xml:space="preserve">). </w:t>
      </w:r>
      <w:r w:rsidR="00757A5A" w:rsidRPr="00D44766">
        <w:rPr>
          <w:lang w:val="en-GB"/>
        </w:rPr>
        <w:t>Throughout the</w:t>
      </w:r>
      <w:r w:rsidR="00A00860" w:rsidRPr="00D44766">
        <w:rPr>
          <w:lang w:val="en-GB"/>
        </w:rPr>
        <w:t xml:space="preserve"> </w:t>
      </w:r>
      <w:r w:rsidR="00757A5A" w:rsidRPr="00D44766">
        <w:rPr>
          <w:lang w:val="en-GB"/>
        </w:rPr>
        <w:t xml:space="preserve">literature the main reasons </w:t>
      </w:r>
      <w:r w:rsidR="00A36583" w:rsidRPr="00D44766">
        <w:rPr>
          <w:lang w:val="en-GB"/>
        </w:rPr>
        <w:t xml:space="preserve">identified </w:t>
      </w:r>
      <w:r w:rsidR="00757A5A" w:rsidRPr="00D44766">
        <w:rPr>
          <w:lang w:val="en-GB"/>
        </w:rPr>
        <w:t>to consume luxury products is because they are providing a perception of pleasure and self-indulgence (</w:t>
      </w:r>
      <w:r w:rsidR="00757A5A" w:rsidRPr="00951D12">
        <w:rPr>
          <w:color w:val="00B050"/>
          <w:lang w:val="en-GB"/>
        </w:rPr>
        <w:t>Berthon</w:t>
      </w:r>
      <w:r w:rsidR="00951D12" w:rsidRPr="00951D12">
        <w:rPr>
          <w:color w:val="00B050"/>
          <w:lang w:val="en-GB"/>
        </w:rPr>
        <w:t>, Pitt, Parent and Berthon,</w:t>
      </w:r>
      <w:r w:rsidR="00757A5A" w:rsidRPr="00951D12">
        <w:rPr>
          <w:color w:val="00B050"/>
          <w:lang w:val="en-GB"/>
        </w:rPr>
        <w:t xml:space="preserve"> 2009;</w:t>
      </w:r>
      <w:r w:rsidR="00757A5A" w:rsidRPr="00D44766">
        <w:rPr>
          <w:lang w:val="en-GB"/>
        </w:rPr>
        <w:t xml:space="preserve"> </w:t>
      </w:r>
      <w:r w:rsidR="00757A5A" w:rsidRPr="00951D12">
        <w:rPr>
          <w:color w:val="00B050"/>
          <w:lang w:val="en-GB"/>
        </w:rPr>
        <w:t>Wiedmann</w:t>
      </w:r>
      <w:r w:rsidR="00951D12" w:rsidRPr="00951D12">
        <w:rPr>
          <w:color w:val="00B050"/>
          <w:lang w:val="en-GB"/>
        </w:rPr>
        <w:t>, Hennigs and Siebels</w:t>
      </w:r>
      <w:r w:rsidR="00757A5A" w:rsidRPr="00951D12">
        <w:rPr>
          <w:color w:val="00B050"/>
          <w:lang w:val="en-GB"/>
        </w:rPr>
        <w:t>, 2009)</w:t>
      </w:r>
      <w:r w:rsidR="00757A5A" w:rsidRPr="00D44766">
        <w:rPr>
          <w:lang w:val="en-GB"/>
        </w:rPr>
        <w:t xml:space="preserve"> – the expectation put forward by clients in the luxury hospitality sector is not only </w:t>
      </w:r>
      <w:r w:rsidR="00A36583" w:rsidRPr="00D44766">
        <w:rPr>
          <w:lang w:val="en-GB"/>
        </w:rPr>
        <w:t xml:space="preserve">the </w:t>
      </w:r>
      <w:r w:rsidR="00757A5A" w:rsidRPr="00D44766">
        <w:rPr>
          <w:lang w:val="en-GB"/>
        </w:rPr>
        <w:t>fulfilment of the basic needs but service</w:t>
      </w:r>
      <w:r w:rsidR="00A36583" w:rsidRPr="00D44766">
        <w:rPr>
          <w:lang w:val="en-GB"/>
        </w:rPr>
        <w:t>s</w:t>
      </w:r>
      <w:r w:rsidR="00757A5A" w:rsidRPr="00D44766">
        <w:rPr>
          <w:lang w:val="en-GB"/>
        </w:rPr>
        <w:t xml:space="preserve">, quality and offerings </w:t>
      </w:r>
      <w:r w:rsidRPr="00D44766">
        <w:rPr>
          <w:lang w:val="en-GB"/>
        </w:rPr>
        <w:t xml:space="preserve">are expected to </w:t>
      </w:r>
      <w:r w:rsidR="00757A5A" w:rsidRPr="00D44766">
        <w:rPr>
          <w:lang w:val="en-GB"/>
        </w:rPr>
        <w:t xml:space="preserve">go beyond this </w:t>
      </w:r>
      <w:r w:rsidR="00A36583" w:rsidRPr="00D44766">
        <w:rPr>
          <w:lang w:val="en-GB"/>
        </w:rPr>
        <w:t xml:space="preserve">basic need fulfilment </w:t>
      </w:r>
      <w:r w:rsidR="00757A5A" w:rsidRPr="00D44766">
        <w:rPr>
          <w:lang w:val="en-GB"/>
        </w:rPr>
        <w:t>(</w:t>
      </w:r>
      <w:r w:rsidR="00757A5A" w:rsidRPr="00951D12">
        <w:rPr>
          <w:color w:val="00B050"/>
          <w:lang w:val="en-GB"/>
        </w:rPr>
        <w:t>Peng and Cheng, 2019</w:t>
      </w:r>
      <w:r w:rsidR="00951D12" w:rsidRPr="00951D12">
        <w:rPr>
          <w:color w:val="00B050"/>
          <w:lang w:val="en-GB"/>
        </w:rPr>
        <w:t>a</w:t>
      </w:r>
      <w:r w:rsidR="00757A5A" w:rsidRPr="00951D12">
        <w:rPr>
          <w:color w:val="00B050"/>
          <w:lang w:val="en-GB"/>
        </w:rPr>
        <w:t>)</w:t>
      </w:r>
      <w:r w:rsidR="00837085" w:rsidRPr="00D44766">
        <w:rPr>
          <w:lang w:val="en-GB"/>
        </w:rPr>
        <w:t>. Especially thes</w:t>
      </w:r>
      <w:r w:rsidR="005B1416">
        <w:rPr>
          <w:lang w:val="en-GB"/>
        </w:rPr>
        <w:t xml:space="preserve">e, </w:t>
      </w:r>
      <w:r w:rsidR="00837085" w:rsidRPr="00D44766">
        <w:rPr>
          <w:lang w:val="en-GB"/>
        </w:rPr>
        <w:t>the luxury services and experiences</w:t>
      </w:r>
      <w:r w:rsidR="005B1416">
        <w:rPr>
          <w:lang w:val="en-GB"/>
        </w:rPr>
        <w:t>,</w:t>
      </w:r>
      <w:r w:rsidR="00837085" w:rsidRPr="00D44766">
        <w:rPr>
          <w:lang w:val="en-GB"/>
        </w:rPr>
        <w:t xml:space="preserve"> have gained attention</w:t>
      </w:r>
      <w:r w:rsidR="00A36583" w:rsidRPr="00D44766">
        <w:rPr>
          <w:lang w:val="en-GB"/>
        </w:rPr>
        <w:t xml:space="preserve"> in the research academia,</w:t>
      </w:r>
      <w:r w:rsidR="00837085" w:rsidRPr="00D44766">
        <w:rPr>
          <w:lang w:val="en-GB"/>
        </w:rPr>
        <w:t xml:space="preserve"> as they still form a rather new aspect in the consumption of luxury compared to traditional luxury product purchases (</w:t>
      </w:r>
      <w:r w:rsidR="00837085" w:rsidRPr="008D1980">
        <w:rPr>
          <w:color w:val="00B050"/>
          <w:lang w:val="en-GB"/>
        </w:rPr>
        <w:t>Thomsen</w:t>
      </w:r>
      <w:r w:rsidR="00951D12" w:rsidRPr="008D1980">
        <w:rPr>
          <w:color w:val="00B050"/>
          <w:lang w:val="en-GB"/>
        </w:rPr>
        <w:t>, Holmqvist, von Wallpach, Hemetsberger and Belk,</w:t>
      </w:r>
      <w:r w:rsidR="00837085" w:rsidRPr="008D1980">
        <w:rPr>
          <w:color w:val="00B050"/>
          <w:lang w:val="en-GB"/>
        </w:rPr>
        <w:t xml:space="preserve"> 20</w:t>
      </w:r>
      <w:r w:rsidR="00E33D5B" w:rsidRPr="008D1980">
        <w:rPr>
          <w:color w:val="00B050"/>
          <w:lang w:val="en-GB"/>
        </w:rPr>
        <w:t>20</w:t>
      </w:r>
      <w:r w:rsidR="00837085" w:rsidRPr="00D44766">
        <w:rPr>
          <w:lang w:val="en-GB"/>
        </w:rPr>
        <w:t xml:space="preserve">). </w:t>
      </w:r>
    </w:p>
    <w:p w14:paraId="1E0B6C92" w14:textId="25F8FE7C" w:rsidR="00E116F2" w:rsidRPr="00D44766" w:rsidRDefault="00CE476E" w:rsidP="00BE7C79">
      <w:pPr>
        <w:contextualSpacing/>
        <w:rPr>
          <w:lang w:val="en-GB"/>
        </w:rPr>
      </w:pPr>
      <w:r w:rsidRPr="00D44766">
        <w:rPr>
          <w:lang w:val="en-GB"/>
        </w:rPr>
        <w:t xml:space="preserve">According </w:t>
      </w:r>
      <w:r w:rsidR="00822345" w:rsidRPr="00D44766">
        <w:rPr>
          <w:lang w:val="en-GB"/>
        </w:rPr>
        <w:t xml:space="preserve">to </w:t>
      </w:r>
      <w:r w:rsidR="00822345" w:rsidRPr="008D1980">
        <w:rPr>
          <w:color w:val="00B050"/>
          <w:lang w:val="en-GB"/>
        </w:rPr>
        <w:t>Mei-Pochter and Nanisch (2010</w:t>
      </w:r>
      <w:r w:rsidR="00822345" w:rsidRPr="00D44766">
        <w:rPr>
          <w:lang w:val="en-GB"/>
        </w:rPr>
        <w:t>) a new luxury area is starting</w:t>
      </w:r>
      <w:r w:rsidR="00A36583" w:rsidRPr="00D44766">
        <w:rPr>
          <w:lang w:val="en-GB"/>
        </w:rPr>
        <w:t>,</w:t>
      </w:r>
      <w:r w:rsidR="00822345" w:rsidRPr="00D44766">
        <w:rPr>
          <w:lang w:val="en-GB"/>
        </w:rPr>
        <w:t xml:space="preserve"> changing the demand of physical products – the tangibles – and shifting </w:t>
      </w:r>
      <w:r w:rsidR="00A36583" w:rsidRPr="00D44766">
        <w:rPr>
          <w:lang w:val="en-GB"/>
        </w:rPr>
        <w:t xml:space="preserve">the demand </w:t>
      </w:r>
      <w:r w:rsidR="00822345" w:rsidRPr="00D44766">
        <w:rPr>
          <w:lang w:val="en-GB"/>
        </w:rPr>
        <w:t>to a longing for luxury experiences to express emotions (</w:t>
      </w:r>
      <w:r w:rsidR="00822345" w:rsidRPr="008D1980">
        <w:rPr>
          <w:color w:val="00B050"/>
          <w:lang w:val="en-GB"/>
        </w:rPr>
        <w:t>Hoffman</w:t>
      </w:r>
      <w:r w:rsidR="00273693">
        <w:rPr>
          <w:color w:val="00B050"/>
          <w:lang w:val="en-GB"/>
        </w:rPr>
        <w:t>n</w:t>
      </w:r>
      <w:r w:rsidR="00822345" w:rsidRPr="008D1980">
        <w:rPr>
          <w:color w:val="00B050"/>
          <w:lang w:val="en-GB"/>
        </w:rPr>
        <w:t xml:space="preserve"> and Coste-Marnière, 2012</w:t>
      </w:r>
      <w:r w:rsidR="00822345" w:rsidRPr="00D44766">
        <w:rPr>
          <w:lang w:val="en-GB"/>
        </w:rPr>
        <w:t xml:space="preserve">). This obviously </w:t>
      </w:r>
      <w:r w:rsidRPr="00D44766">
        <w:rPr>
          <w:lang w:val="en-GB"/>
        </w:rPr>
        <w:t>facilitates the demand for luxury vacations and indeed, contemporary luxury travel has been ex</w:t>
      </w:r>
      <w:r w:rsidRPr="00D44766">
        <w:rPr>
          <w:lang w:val="en-GB"/>
        </w:rPr>
        <w:lastRenderedPageBreak/>
        <w:t>panding and becoming affordable to a broader market (</w:t>
      </w:r>
      <w:r w:rsidRPr="008D1980">
        <w:rPr>
          <w:color w:val="00B050"/>
          <w:lang w:val="en-GB"/>
        </w:rPr>
        <w:t>Okonkwo, 2009;</w:t>
      </w:r>
      <w:r w:rsidRPr="00D44766">
        <w:rPr>
          <w:lang w:val="en-GB"/>
        </w:rPr>
        <w:t xml:space="preserve"> </w:t>
      </w:r>
      <w:r w:rsidRPr="008D1980">
        <w:rPr>
          <w:color w:val="00B050"/>
          <w:lang w:val="en-GB"/>
        </w:rPr>
        <w:t>Correia and</w:t>
      </w:r>
      <w:r w:rsidR="0028245F" w:rsidRPr="008D1980">
        <w:rPr>
          <w:color w:val="00B050"/>
          <w:lang w:val="en-GB"/>
        </w:rPr>
        <w:t xml:space="preserve"> Kozak, 2012</w:t>
      </w:r>
      <w:r w:rsidR="0028245F" w:rsidRPr="00D44766">
        <w:rPr>
          <w:lang w:val="en-GB"/>
        </w:rPr>
        <w:t>;</w:t>
      </w:r>
      <w:r w:rsidR="0028245F" w:rsidRPr="008D1980">
        <w:rPr>
          <w:color w:val="00B050"/>
          <w:lang w:val="en-GB"/>
        </w:rPr>
        <w:t xml:space="preserve"> Seo and Buchanan-Oliver, 2019</w:t>
      </w:r>
      <w:r w:rsidR="0028245F" w:rsidRPr="00D44766">
        <w:rPr>
          <w:lang w:val="en-GB"/>
        </w:rPr>
        <w:t xml:space="preserve">). Moreover, in a luxury environment more than anything, the prices </w:t>
      </w:r>
      <w:r w:rsidR="00E239E1" w:rsidRPr="00D44766">
        <w:rPr>
          <w:lang w:val="en-GB"/>
        </w:rPr>
        <w:t>do not</w:t>
      </w:r>
      <w:r w:rsidR="0028245F" w:rsidRPr="00D44766">
        <w:rPr>
          <w:lang w:val="en-GB"/>
        </w:rPr>
        <w:t xml:space="preserve"> have to be explained based on objective reasoning. Here</w:t>
      </w:r>
      <w:r w:rsidR="00220F27" w:rsidRPr="00D44766">
        <w:rPr>
          <w:lang w:val="en-GB"/>
        </w:rPr>
        <w:t>,</w:t>
      </w:r>
      <w:r w:rsidR="0028245F" w:rsidRPr="00D44766">
        <w:rPr>
          <w:lang w:val="en-GB"/>
        </w:rPr>
        <w:t xml:space="preserve"> rationality is </w:t>
      </w:r>
      <w:r w:rsidR="00E239E1" w:rsidRPr="00D44766">
        <w:rPr>
          <w:lang w:val="en-GB"/>
        </w:rPr>
        <w:t>trumped,</w:t>
      </w:r>
      <w:r w:rsidR="0028245F" w:rsidRPr="00D44766">
        <w:rPr>
          <w:lang w:val="en-GB"/>
        </w:rPr>
        <w:t xml:space="preserve"> and luxury customers are attracted by the intangible aspects – the feeling they have while consuming the product/service, the history behind the brand, the prestige of the brand etc. </w:t>
      </w:r>
      <w:r w:rsidR="0028245F" w:rsidRPr="008D1980">
        <w:rPr>
          <w:color w:val="00B050"/>
          <w:lang w:val="en-GB"/>
        </w:rPr>
        <w:t>(Ka</w:t>
      </w:r>
      <w:r w:rsidR="00D44766" w:rsidRPr="008D1980">
        <w:rPr>
          <w:color w:val="00B050"/>
          <w:lang w:val="en-GB"/>
        </w:rPr>
        <w:t>p</w:t>
      </w:r>
      <w:r w:rsidR="0028245F" w:rsidRPr="008D1980">
        <w:rPr>
          <w:color w:val="00B050"/>
          <w:lang w:val="en-GB"/>
        </w:rPr>
        <w:t>ferer and Bastien, 2012</w:t>
      </w:r>
      <w:r w:rsidR="0028245F" w:rsidRPr="00D44766">
        <w:rPr>
          <w:lang w:val="en-GB"/>
        </w:rPr>
        <w:t xml:space="preserve">). </w:t>
      </w:r>
      <w:r w:rsidR="00220F27" w:rsidRPr="00D44766">
        <w:rPr>
          <w:lang w:val="en-GB"/>
        </w:rPr>
        <w:t xml:space="preserve">Which makes it attractive </w:t>
      </w:r>
      <w:r w:rsidR="00BE7C79">
        <w:rPr>
          <w:lang w:val="en-GB"/>
        </w:rPr>
        <w:t>for</w:t>
      </w:r>
      <w:r w:rsidR="00220F27" w:rsidRPr="00D44766">
        <w:rPr>
          <w:lang w:val="en-GB"/>
        </w:rPr>
        <w:t xml:space="preserve"> brands to be associated with a luxury-label as it gives them the opportunity to differentiate themselves from the competition over factors other than hard facts. </w:t>
      </w:r>
    </w:p>
    <w:p w14:paraId="65D15F1F" w14:textId="4F35BEA7" w:rsidR="00287C59" w:rsidRPr="00D44766" w:rsidRDefault="00E33D5B" w:rsidP="002E26E0">
      <w:pPr>
        <w:contextualSpacing/>
        <w:rPr>
          <w:lang w:val="en-GB"/>
        </w:rPr>
      </w:pPr>
      <w:r w:rsidRPr="00D44766">
        <w:rPr>
          <w:lang w:val="en-GB"/>
        </w:rPr>
        <w:t xml:space="preserve">The extending contemporary </w:t>
      </w:r>
      <w:r w:rsidR="00BE7C79">
        <w:rPr>
          <w:lang w:val="en-GB"/>
        </w:rPr>
        <w:t xml:space="preserve">luxury </w:t>
      </w:r>
      <w:r w:rsidRPr="00D44766">
        <w:rPr>
          <w:lang w:val="en-GB"/>
        </w:rPr>
        <w:t xml:space="preserve">travel market is exactly what a number of smaller and medium sized TOs are trying to focus on in the Germanic speaking tourism industry. Unlike the </w:t>
      </w:r>
      <w:r w:rsidR="00B23873" w:rsidRPr="00D44766">
        <w:rPr>
          <w:lang w:val="en-GB"/>
        </w:rPr>
        <w:t>mass-tourism market</w:t>
      </w:r>
      <w:r w:rsidR="00655C3A" w:rsidRPr="00D44766">
        <w:rPr>
          <w:lang w:val="en-GB"/>
        </w:rPr>
        <w:t>,</w:t>
      </w:r>
      <w:r w:rsidR="00B23873" w:rsidRPr="00D44766">
        <w:rPr>
          <w:lang w:val="en-GB"/>
        </w:rPr>
        <w:t xml:space="preserve"> </w:t>
      </w:r>
      <w:r w:rsidR="00E239E1" w:rsidRPr="00D44766">
        <w:rPr>
          <w:lang w:val="en-GB"/>
        </w:rPr>
        <w:t>big players do not necessarily dominate the luxury travel industry</w:t>
      </w:r>
      <w:r w:rsidR="00B23873" w:rsidRPr="00D44766">
        <w:rPr>
          <w:lang w:val="en-GB"/>
        </w:rPr>
        <w:t xml:space="preserve">. </w:t>
      </w:r>
      <w:r w:rsidR="00E239E1" w:rsidRPr="00D44766">
        <w:rPr>
          <w:lang w:val="en-GB"/>
        </w:rPr>
        <w:t>Yet</w:t>
      </w:r>
      <w:r w:rsidR="00BE7C79">
        <w:rPr>
          <w:lang w:val="en-GB"/>
        </w:rPr>
        <w:t>,</w:t>
      </w:r>
      <w:r w:rsidR="00B23873" w:rsidRPr="00D44766">
        <w:rPr>
          <w:lang w:val="en-GB"/>
        </w:rPr>
        <w:t xml:space="preserve"> also the “</w:t>
      </w:r>
      <w:r w:rsidR="00A2358C" w:rsidRPr="00D44766">
        <w:rPr>
          <w:lang w:val="en-GB"/>
        </w:rPr>
        <w:t>big players</w:t>
      </w:r>
      <w:r w:rsidR="00B23873" w:rsidRPr="00D44766">
        <w:rPr>
          <w:lang w:val="en-GB"/>
        </w:rPr>
        <w:t>” have</w:t>
      </w:r>
      <w:r w:rsidR="00220F27" w:rsidRPr="00D44766">
        <w:rPr>
          <w:lang w:val="en-GB"/>
        </w:rPr>
        <w:t xml:space="preserve"> seized the opportunity and already years back founded</w:t>
      </w:r>
      <w:r w:rsidR="00B23873" w:rsidRPr="00D44766">
        <w:rPr>
          <w:lang w:val="en-GB"/>
        </w:rPr>
        <w:t xml:space="preserve"> their </w:t>
      </w:r>
      <w:r w:rsidR="00220F27" w:rsidRPr="00D44766">
        <w:rPr>
          <w:lang w:val="en-GB"/>
        </w:rPr>
        <w:t xml:space="preserve">own </w:t>
      </w:r>
      <w:r w:rsidR="00B23873" w:rsidRPr="00D44766">
        <w:rPr>
          <w:lang w:val="en-GB"/>
        </w:rPr>
        <w:t>luxury</w:t>
      </w:r>
      <w:r w:rsidR="00220F27" w:rsidRPr="00D44766">
        <w:rPr>
          <w:lang w:val="en-GB"/>
        </w:rPr>
        <w:t xml:space="preserve"> sub-</w:t>
      </w:r>
      <w:r w:rsidR="00E14B0A" w:rsidRPr="00D44766">
        <w:rPr>
          <w:lang w:val="en-GB"/>
        </w:rPr>
        <w:t>brands,</w:t>
      </w:r>
      <w:r w:rsidR="00B23873" w:rsidRPr="00D44766">
        <w:rPr>
          <w:lang w:val="en-GB"/>
        </w:rPr>
        <w:t xml:space="preserve"> </w:t>
      </w:r>
      <w:r w:rsidR="00AA538D" w:rsidRPr="00D44766">
        <w:rPr>
          <w:lang w:val="en-GB"/>
        </w:rPr>
        <w:t>e.g.,</w:t>
      </w:r>
      <w:r w:rsidR="00B23873" w:rsidRPr="00D44766">
        <w:rPr>
          <w:lang w:val="en-GB"/>
        </w:rPr>
        <w:t xml:space="preserve"> D</w:t>
      </w:r>
      <w:r w:rsidR="00503E83">
        <w:rPr>
          <w:lang w:val="en-GB"/>
        </w:rPr>
        <w:t>ER T</w:t>
      </w:r>
      <w:r w:rsidR="00B23873" w:rsidRPr="00D44766">
        <w:rPr>
          <w:lang w:val="en-GB"/>
        </w:rPr>
        <w:t>ouristik (REWE Touristik</w:t>
      </w:r>
      <w:r w:rsidR="00503E83">
        <w:rPr>
          <w:lang w:val="en-GB"/>
        </w:rPr>
        <w:t xml:space="preserve"> is the mother company</w:t>
      </w:r>
      <w:r w:rsidR="00B23873" w:rsidRPr="00D44766">
        <w:rPr>
          <w:lang w:val="en-GB"/>
        </w:rPr>
        <w:t>) with Dertour Deluxe or TUI with Airtours and Airtours Private Travel. FTI with their brand Windrose which was acquired a couple of years back. Other than that</w:t>
      </w:r>
      <w:r w:rsidR="00220F27" w:rsidRPr="00D44766">
        <w:rPr>
          <w:lang w:val="en-GB"/>
        </w:rPr>
        <w:t>,</w:t>
      </w:r>
      <w:r w:rsidR="00B23873" w:rsidRPr="00D44766">
        <w:rPr>
          <w:lang w:val="en-GB"/>
        </w:rPr>
        <w:t xml:space="preserve"> </w:t>
      </w:r>
      <w:r w:rsidR="000A72D5">
        <w:rPr>
          <w:lang w:val="en-GB"/>
        </w:rPr>
        <w:t>TOs focusing on luxury travel</w:t>
      </w:r>
      <w:r w:rsidR="00B23873" w:rsidRPr="00D44766">
        <w:rPr>
          <w:lang w:val="en-GB"/>
        </w:rPr>
        <w:t xml:space="preserve"> </w:t>
      </w:r>
      <w:r w:rsidR="000A72D5">
        <w:rPr>
          <w:lang w:val="en-GB"/>
        </w:rPr>
        <w:t xml:space="preserve">predominantly belong </w:t>
      </w:r>
      <w:r w:rsidR="00B23873" w:rsidRPr="00D44766">
        <w:rPr>
          <w:lang w:val="en-GB"/>
        </w:rPr>
        <w:t>to the smaller and medium enterprise category. They usually work much closer with the suppliers in the destination, know a lot of their partner</w:t>
      </w:r>
      <w:r w:rsidR="00220F27" w:rsidRPr="00D44766">
        <w:rPr>
          <w:lang w:val="en-GB"/>
        </w:rPr>
        <w:t>s</w:t>
      </w:r>
      <w:r w:rsidR="00B23873" w:rsidRPr="00D44766">
        <w:rPr>
          <w:lang w:val="en-GB"/>
        </w:rPr>
        <w:t xml:space="preserve"> personally</w:t>
      </w:r>
      <w:r w:rsidR="00220F27" w:rsidRPr="00D44766">
        <w:rPr>
          <w:lang w:val="en-GB"/>
        </w:rPr>
        <w:t>, have a deeper understanding of the destinations and its particularities and problems</w:t>
      </w:r>
      <w:r w:rsidR="00655C3A" w:rsidRPr="00D44766">
        <w:rPr>
          <w:lang w:val="en-GB"/>
        </w:rPr>
        <w:t xml:space="preserve">. This in-depth knowledge is also often expected by clients spending a larger amount of money on their holiday – they do want to get the best and ask very particular question which the consultant is obviously expected to answer. These SME TOs </w:t>
      </w:r>
      <w:r w:rsidR="00B23873" w:rsidRPr="00D44766">
        <w:rPr>
          <w:lang w:val="en-GB"/>
        </w:rPr>
        <w:t xml:space="preserve">are </w:t>
      </w:r>
      <w:r w:rsidR="00655C3A" w:rsidRPr="00D44766">
        <w:rPr>
          <w:lang w:val="en-GB"/>
        </w:rPr>
        <w:t xml:space="preserve">also </w:t>
      </w:r>
      <w:r w:rsidR="00B23873" w:rsidRPr="00D44766">
        <w:rPr>
          <w:lang w:val="en-GB"/>
        </w:rPr>
        <w:t>more flexible in changing partners as they are not tied to one sales channel</w:t>
      </w:r>
      <w:r w:rsidR="00655C3A" w:rsidRPr="00D44766">
        <w:rPr>
          <w:lang w:val="en-GB"/>
        </w:rPr>
        <w:t xml:space="preserve"> and </w:t>
      </w:r>
      <w:r w:rsidR="00E239E1" w:rsidRPr="00D44766">
        <w:rPr>
          <w:lang w:val="en-GB"/>
        </w:rPr>
        <w:t>back-offices</w:t>
      </w:r>
      <w:r w:rsidR="00655C3A" w:rsidRPr="00D44766">
        <w:rPr>
          <w:lang w:val="en-GB"/>
        </w:rPr>
        <w:t xml:space="preserve"> processes can easily and quickly be adapted</w:t>
      </w:r>
      <w:r w:rsidR="00B23873" w:rsidRPr="00D44766">
        <w:rPr>
          <w:lang w:val="en-GB"/>
        </w:rPr>
        <w:t>. Therefore, they have the opportunity to decide what works best for them as a brand and their brand image</w:t>
      </w:r>
      <w:r w:rsidR="00655C3A" w:rsidRPr="00D44766">
        <w:rPr>
          <w:lang w:val="en-GB"/>
        </w:rPr>
        <w:t xml:space="preserve"> as well as for their clients</w:t>
      </w:r>
      <w:r w:rsidR="00B23873" w:rsidRPr="00D44766">
        <w:rPr>
          <w:lang w:val="en-GB"/>
        </w:rPr>
        <w:t xml:space="preserve">. Crucial to note here, the product (hotels, transfers etc.) in essence </w:t>
      </w:r>
      <w:r w:rsidR="00655C3A" w:rsidRPr="00D44766">
        <w:rPr>
          <w:lang w:val="en-GB"/>
        </w:rPr>
        <w:t>remain</w:t>
      </w:r>
      <w:r w:rsidR="00B23873" w:rsidRPr="00D44766">
        <w:rPr>
          <w:lang w:val="en-GB"/>
        </w:rPr>
        <w:t xml:space="preserve"> identical</w:t>
      </w:r>
      <w:r w:rsidR="00655C3A" w:rsidRPr="00D44766">
        <w:rPr>
          <w:lang w:val="en-GB"/>
        </w:rPr>
        <w:t xml:space="preserve">. A SME TO cannot sell anything else than another large TO does not have access to. The only differentiation </w:t>
      </w:r>
      <w:r w:rsidR="00B23873" w:rsidRPr="00D44766">
        <w:rPr>
          <w:lang w:val="en-GB"/>
        </w:rPr>
        <w:t>is the service</w:t>
      </w:r>
      <w:r w:rsidR="00655C3A" w:rsidRPr="00D44766">
        <w:rPr>
          <w:lang w:val="en-GB"/>
        </w:rPr>
        <w:t xml:space="preserve"> (and sometime the price)</w:t>
      </w:r>
      <w:r w:rsidR="00B23873" w:rsidRPr="00D44766">
        <w:rPr>
          <w:lang w:val="en-GB"/>
        </w:rPr>
        <w:t xml:space="preserve"> that differentiates the mass</w:t>
      </w:r>
      <w:r w:rsidR="00220F27" w:rsidRPr="00D44766">
        <w:rPr>
          <w:lang w:val="en-GB"/>
        </w:rPr>
        <w:t>-</w:t>
      </w:r>
      <w:r w:rsidR="00B23873" w:rsidRPr="00D44766">
        <w:rPr>
          <w:lang w:val="en-GB"/>
        </w:rPr>
        <w:t xml:space="preserve"> </w:t>
      </w:r>
      <w:r w:rsidR="00220F27" w:rsidRPr="00D44766">
        <w:rPr>
          <w:lang w:val="en-GB"/>
        </w:rPr>
        <w:t xml:space="preserve">from </w:t>
      </w:r>
      <w:r w:rsidR="00B23873" w:rsidRPr="00D44766">
        <w:rPr>
          <w:lang w:val="en-GB"/>
        </w:rPr>
        <w:t>the more luxury</w:t>
      </w:r>
      <w:r w:rsidR="000A5E36">
        <w:rPr>
          <w:lang w:val="en-GB"/>
        </w:rPr>
        <w:t>-focused</w:t>
      </w:r>
      <w:r w:rsidR="00B23873" w:rsidRPr="00D44766">
        <w:rPr>
          <w:lang w:val="en-GB"/>
        </w:rPr>
        <w:t xml:space="preserve"> TOs</w:t>
      </w:r>
      <w:r w:rsidR="00655C3A" w:rsidRPr="00D44766">
        <w:rPr>
          <w:lang w:val="en-GB"/>
        </w:rPr>
        <w:t xml:space="preserve">. As above mentioned in many cases </w:t>
      </w:r>
      <w:r w:rsidR="00B23873" w:rsidRPr="00D44766">
        <w:rPr>
          <w:lang w:val="en-GB"/>
        </w:rPr>
        <w:t xml:space="preserve">the destination knowledge </w:t>
      </w:r>
      <w:r w:rsidR="00655C3A" w:rsidRPr="00D44766">
        <w:rPr>
          <w:lang w:val="en-GB"/>
        </w:rPr>
        <w:t xml:space="preserve">is far greater </w:t>
      </w:r>
      <w:r w:rsidR="00B23873" w:rsidRPr="00D44766">
        <w:rPr>
          <w:lang w:val="en-GB"/>
        </w:rPr>
        <w:t xml:space="preserve">and the personal interactions and contacts with the local service providers (at least with the </w:t>
      </w:r>
      <w:r w:rsidR="00E239E1" w:rsidRPr="00D44766">
        <w:rPr>
          <w:lang w:val="en-GB"/>
        </w:rPr>
        <w:t>first-tier</w:t>
      </w:r>
      <w:r w:rsidR="003E7108" w:rsidRPr="00D44766">
        <w:rPr>
          <w:lang w:val="en-GB"/>
        </w:rPr>
        <w:t xml:space="preserve"> system – the DMCs</w:t>
      </w:r>
      <w:r w:rsidR="00220F27" w:rsidRPr="00D44766">
        <w:rPr>
          <w:lang w:val="en-GB"/>
        </w:rPr>
        <w:t xml:space="preserve"> and hotels</w:t>
      </w:r>
      <w:r w:rsidR="003E7108" w:rsidRPr="00D44766">
        <w:rPr>
          <w:lang w:val="en-GB"/>
        </w:rPr>
        <w:t>)</w:t>
      </w:r>
      <w:r w:rsidR="00655C3A" w:rsidRPr="00D44766">
        <w:rPr>
          <w:lang w:val="en-GB"/>
        </w:rPr>
        <w:t xml:space="preserve"> as well as with the client are more pronounced</w:t>
      </w:r>
      <w:r w:rsidR="003E7108" w:rsidRPr="00D44766">
        <w:rPr>
          <w:lang w:val="en-GB"/>
        </w:rPr>
        <w:t xml:space="preserve">. </w:t>
      </w:r>
      <w:r w:rsidR="00287C59" w:rsidRPr="00D44766">
        <w:rPr>
          <w:lang w:val="en-GB"/>
        </w:rPr>
        <w:t>Those luxury</w:t>
      </w:r>
      <w:r w:rsidR="000A72D5">
        <w:rPr>
          <w:lang w:val="en-GB"/>
        </w:rPr>
        <w:t xml:space="preserve">-focused </w:t>
      </w:r>
      <w:r w:rsidR="00287C59" w:rsidRPr="00D44766">
        <w:rPr>
          <w:lang w:val="en-GB"/>
        </w:rPr>
        <w:t>TOs do often sell B2B</w:t>
      </w:r>
      <w:r w:rsidR="003B278F">
        <w:rPr>
          <w:lang w:val="en-GB"/>
        </w:rPr>
        <w:t xml:space="preserve">, </w:t>
      </w:r>
      <w:r w:rsidR="00287C59" w:rsidRPr="00D44766">
        <w:rPr>
          <w:lang w:val="en-GB"/>
        </w:rPr>
        <w:t>meaning to other TOs as well as T</w:t>
      </w:r>
      <w:r w:rsidR="000A72D5">
        <w:rPr>
          <w:lang w:val="en-GB"/>
        </w:rPr>
        <w:t>A</w:t>
      </w:r>
      <w:r w:rsidR="00287C59" w:rsidRPr="00D44766">
        <w:rPr>
          <w:lang w:val="en-GB"/>
        </w:rPr>
        <w:t>s</w:t>
      </w:r>
      <w:r w:rsidR="003B278F">
        <w:rPr>
          <w:lang w:val="en-GB"/>
        </w:rPr>
        <w:t>,</w:t>
      </w:r>
      <w:r w:rsidR="00287C59" w:rsidRPr="00D44766">
        <w:rPr>
          <w:lang w:val="en-GB"/>
        </w:rPr>
        <w:t xml:space="preserve"> but also B2C</w:t>
      </w:r>
      <w:r w:rsidR="003B278F">
        <w:rPr>
          <w:lang w:val="en-GB"/>
        </w:rPr>
        <w:t xml:space="preserve"> </w:t>
      </w:r>
      <w:r w:rsidR="00287C59" w:rsidRPr="00D44766">
        <w:rPr>
          <w:lang w:val="en-GB"/>
        </w:rPr>
        <w:t xml:space="preserve">– </w:t>
      </w:r>
      <w:r w:rsidR="003B278F">
        <w:rPr>
          <w:lang w:val="en-GB"/>
        </w:rPr>
        <w:t xml:space="preserve">so </w:t>
      </w:r>
      <w:r w:rsidR="00287C59" w:rsidRPr="00D44766">
        <w:rPr>
          <w:lang w:val="en-GB"/>
        </w:rPr>
        <w:t xml:space="preserve">to the </w:t>
      </w:r>
      <w:r w:rsidR="003B278F" w:rsidRPr="00D44766">
        <w:rPr>
          <w:lang w:val="en-GB"/>
        </w:rPr>
        <w:t>traveller</w:t>
      </w:r>
      <w:r w:rsidR="00287C59" w:rsidRPr="00D44766">
        <w:rPr>
          <w:lang w:val="en-GB"/>
        </w:rPr>
        <w:t xml:space="preserve"> directly. </w:t>
      </w:r>
      <w:r w:rsidR="00087C64" w:rsidRPr="00D44766">
        <w:rPr>
          <w:lang w:val="en-GB"/>
        </w:rPr>
        <w:t>With an in-depth product and destination knowledge on the one and very good client relationship</w:t>
      </w:r>
      <w:r w:rsidR="003B278F">
        <w:rPr>
          <w:lang w:val="en-GB"/>
        </w:rPr>
        <w:t xml:space="preserve">s </w:t>
      </w:r>
      <w:r w:rsidR="00087C64" w:rsidRPr="00D44766">
        <w:rPr>
          <w:lang w:val="en-GB"/>
        </w:rPr>
        <w:t xml:space="preserve">on the other hand, SME TOs </w:t>
      </w:r>
      <w:r w:rsidR="000A72D5">
        <w:rPr>
          <w:lang w:val="en-GB"/>
        </w:rPr>
        <w:t xml:space="preserve">disregarding their speciality/niche </w:t>
      </w:r>
      <w:r w:rsidR="00287C59" w:rsidRPr="00D44766">
        <w:rPr>
          <w:lang w:val="en-GB"/>
        </w:rPr>
        <w:t xml:space="preserve">are able to steer and consult their </w:t>
      </w:r>
      <w:r w:rsidR="00287C59" w:rsidRPr="00D44766">
        <w:rPr>
          <w:lang w:val="en-GB"/>
        </w:rPr>
        <w:lastRenderedPageBreak/>
        <w:t>B2B and B2C clients in terms of all aspects of the trip</w:t>
      </w:r>
      <w:r w:rsidR="00220F27" w:rsidRPr="00D44766">
        <w:rPr>
          <w:lang w:val="en-GB"/>
        </w:rPr>
        <w:t>s</w:t>
      </w:r>
      <w:r w:rsidR="00287C59" w:rsidRPr="00D44766">
        <w:rPr>
          <w:lang w:val="en-GB"/>
        </w:rPr>
        <w:t xml:space="preserve"> – also including CSR and sustainability concerns, which will later be explained and discussed in further depth. </w:t>
      </w:r>
    </w:p>
    <w:p w14:paraId="46E746B2" w14:textId="37352F3E" w:rsidR="00661EAB" w:rsidRPr="00A67409" w:rsidRDefault="00A67409" w:rsidP="00A67409">
      <w:pPr>
        <w:pStyle w:val="berschrift2"/>
        <w:rPr>
          <w:lang w:val="en-GB"/>
        </w:rPr>
      </w:pPr>
      <w:bookmarkStart w:id="29" w:name="_Toc143330984"/>
      <w:bookmarkStart w:id="30" w:name="_Toc143361651"/>
      <w:r w:rsidRPr="00A67409">
        <w:rPr>
          <w:lang w:val="en-GB"/>
        </w:rPr>
        <w:t>2.4</w:t>
      </w:r>
      <w:r w:rsidRPr="004D6A62">
        <w:rPr>
          <w:lang w:val="en-GB"/>
        </w:rPr>
        <w:t xml:space="preserve">. </w:t>
      </w:r>
      <w:r w:rsidR="00661EAB" w:rsidRPr="004D6A62">
        <w:rPr>
          <w:lang w:val="en-GB"/>
        </w:rPr>
        <w:t>Tourism</w:t>
      </w:r>
      <w:r w:rsidR="000E3AF6">
        <w:rPr>
          <w:lang w:val="en-GB"/>
        </w:rPr>
        <w:t xml:space="preserve"> </w:t>
      </w:r>
      <w:r w:rsidR="004D6A62">
        <w:rPr>
          <w:lang w:val="en-GB"/>
        </w:rPr>
        <w:t xml:space="preserve">Development </w:t>
      </w:r>
      <w:r w:rsidR="000E3AF6">
        <w:rPr>
          <w:lang w:val="en-GB"/>
        </w:rPr>
        <w:t>after COVID</w:t>
      </w:r>
      <w:r w:rsidR="00661EAB" w:rsidRPr="00A67409">
        <w:rPr>
          <w:lang w:val="en-GB"/>
        </w:rPr>
        <w:t>– time for a new trajectory?</w:t>
      </w:r>
      <w:bookmarkEnd w:id="29"/>
      <w:bookmarkEnd w:id="30"/>
    </w:p>
    <w:p w14:paraId="32CA25D2" w14:textId="17C47FD5" w:rsidR="008A2687" w:rsidRPr="00D44766" w:rsidRDefault="00646B41" w:rsidP="000E3AF6">
      <w:pPr>
        <w:contextualSpacing/>
        <w:rPr>
          <w:lang w:val="en-GB"/>
        </w:rPr>
      </w:pPr>
      <w:r>
        <w:rPr>
          <w:lang w:val="en-GB"/>
        </w:rPr>
        <w:t>Prior to COV</w:t>
      </w:r>
      <w:r w:rsidR="00BE7C79">
        <w:rPr>
          <w:lang w:val="en-GB"/>
        </w:rPr>
        <w:t>I</w:t>
      </w:r>
      <w:r>
        <w:rPr>
          <w:lang w:val="en-GB"/>
        </w:rPr>
        <w:t>D, the travel and tourism industry on average grew year on year</w:t>
      </w:r>
      <w:r w:rsidR="00BE7C79">
        <w:rPr>
          <w:lang w:val="en-GB"/>
        </w:rPr>
        <w:t xml:space="preserve"> as displayed in the figure in the preceding chapter</w:t>
      </w:r>
      <w:r w:rsidR="00EC62BF">
        <w:rPr>
          <w:lang w:val="en-GB"/>
        </w:rPr>
        <w:t xml:space="preserve">. Continuous growth was </w:t>
      </w:r>
      <w:r w:rsidR="000E3AF6">
        <w:rPr>
          <w:lang w:val="en-GB"/>
        </w:rPr>
        <w:t>and still is promoted by official bodies</w:t>
      </w:r>
      <w:r w:rsidR="00BE7C79">
        <w:rPr>
          <w:lang w:val="en-GB"/>
        </w:rPr>
        <w:t xml:space="preserve"> and t</w:t>
      </w:r>
      <w:r w:rsidR="000E3AF6">
        <w:rPr>
          <w:lang w:val="en-GB"/>
        </w:rPr>
        <w:t xml:space="preserve">he trajectory for the pre-COVID tourism industry was set on continuous growth. </w:t>
      </w:r>
      <w:r w:rsidR="00BE7C79">
        <w:rPr>
          <w:lang w:val="en-GB"/>
        </w:rPr>
        <w:t>The</w:t>
      </w:r>
      <w:r w:rsidR="000E3AF6">
        <w:rPr>
          <w:lang w:val="en-GB"/>
        </w:rPr>
        <w:t xml:space="preserve"> </w:t>
      </w:r>
      <w:r w:rsidR="009B44C1" w:rsidRPr="00D44766">
        <w:rPr>
          <w:lang w:val="en-GB"/>
        </w:rPr>
        <w:t>COVID</w:t>
      </w:r>
      <w:r w:rsidR="006656C6" w:rsidRPr="00D44766">
        <w:rPr>
          <w:lang w:val="en-GB"/>
        </w:rPr>
        <w:t>-19 pandemic</w:t>
      </w:r>
      <w:r w:rsidR="009B44C1" w:rsidRPr="00D44766">
        <w:rPr>
          <w:lang w:val="en-GB"/>
        </w:rPr>
        <w:t xml:space="preserve"> did have a major, never-seen before influence on the industry</w:t>
      </w:r>
      <w:r w:rsidR="00D4267E" w:rsidRPr="00D44766">
        <w:rPr>
          <w:lang w:val="en-GB"/>
        </w:rPr>
        <w:t xml:space="preserve"> with tourism literally coming to a stand-still at the cost of many peoples’ jobs </w:t>
      </w:r>
      <w:r w:rsidR="00BE7C79">
        <w:rPr>
          <w:lang w:val="en-GB"/>
        </w:rPr>
        <w:t>which posed</w:t>
      </w:r>
      <w:r w:rsidR="00D4267E" w:rsidRPr="00D44766">
        <w:rPr>
          <w:lang w:val="en-GB"/>
        </w:rPr>
        <w:t xml:space="preserve"> a tremendous threat on their livelihood. On the other side though, especially the natural resources, which are crucial as a tourist attraction </w:t>
      </w:r>
      <w:r w:rsidR="008A2687" w:rsidRPr="00D44766">
        <w:rPr>
          <w:lang w:val="en-GB"/>
        </w:rPr>
        <w:t xml:space="preserve">as identified above, </w:t>
      </w:r>
      <w:r w:rsidR="00D4267E" w:rsidRPr="00D44766">
        <w:rPr>
          <w:lang w:val="en-GB"/>
        </w:rPr>
        <w:t xml:space="preserve">have recovered during this standstill. From over-tourism to </w:t>
      </w:r>
      <w:r w:rsidR="00130538">
        <w:rPr>
          <w:lang w:val="en-GB"/>
        </w:rPr>
        <w:t>no tourism</w:t>
      </w:r>
      <w:r w:rsidR="00D4267E" w:rsidRPr="00D44766">
        <w:rPr>
          <w:lang w:val="en-GB"/>
        </w:rPr>
        <w:t xml:space="preserve"> – with</w:t>
      </w:r>
      <w:r w:rsidR="008A2687" w:rsidRPr="00D44766">
        <w:rPr>
          <w:lang w:val="en-GB"/>
        </w:rPr>
        <w:t xml:space="preserve"> </w:t>
      </w:r>
      <w:r w:rsidR="00D4267E" w:rsidRPr="00D44766">
        <w:rPr>
          <w:lang w:val="en-GB"/>
        </w:rPr>
        <w:t xml:space="preserve">seemingly positive ecological but partly devastating social consequences. </w:t>
      </w:r>
      <w:r w:rsidR="000E3AF6">
        <w:rPr>
          <w:lang w:val="en-GB"/>
        </w:rPr>
        <w:t>COVID put a focal glass on the industry and its causalities. While natural resources in many places recovered like Venice, they were equally put at threat through the loss of livelihood of many dependent on tourism. In countries of Southern Africa</w:t>
      </w:r>
      <w:r w:rsidR="00C96984">
        <w:rPr>
          <w:lang w:val="en-GB"/>
        </w:rPr>
        <w:t xml:space="preserve"> for example</w:t>
      </w:r>
      <w:r w:rsidR="000E3AF6">
        <w:rPr>
          <w:lang w:val="en-GB"/>
        </w:rPr>
        <w:t>, poaching incidents increased again</w:t>
      </w:r>
      <w:r w:rsidR="00C96984">
        <w:rPr>
          <w:lang w:val="en-GB"/>
        </w:rPr>
        <w:t xml:space="preserve"> during COVID (</w:t>
      </w:r>
      <w:bookmarkStart w:id="31" w:name="_Hlk143023717"/>
      <w:r w:rsidR="00C96984">
        <w:rPr>
          <w:color w:val="70AD47" w:themeColor="accent6"/>
          <w:lang w:val="en-GB"/>
        </w:rPr>
        <w:t>Lucas</w:t>
      </w:r>
      <w:r w:rsidR="00C96984" w:rsidRPr="00C96984">
        <w:rPr>
          <w:color w:val="70AD47" w:themeColor="accent6"/>
          <w:lang w:val="en-GB"/>
        </w:rPr>
        <w:t>, 2022</w:t>
      </w:r>
      <w:bookmarkEnd w:id="31"/>
      <w:r w:rsidR="00C96984">
        <w:rPr>
          <w:lang w:val="en-GB"/>
        </w:rPr>
        <w:t>)</w:t>
      </w:r>
      <w:r w:rsidR="000E3AF6">
        <w:rPr>
          <w:lang w:val="en-GB"/>
        </w:rPr>
        <w:t xml:space="preserve"> due to several reasons, one being the loss of income from </w:t>
      </w:r>
      <w:r w:rsidR="00C96984">
        <w:rPr>
          <w:lang w:val="en-GB"/>
        </w:rPr>
        <w:t xml:space="preserve">absent tourists and also a reduced number of game vehicle on patrol. </w:t>
      </w:r>
    </w:p>
    <w:p w14:paraId="563330F5" w14:textId="2CA7F7ED" w:rsidR="0034541C" w:rsidRPr="00D44766" w:rsidRDefault="00D4267E" w:rsidP="002E26E0">
      <w:pPr>
        <w:contextualSpacing/>
        <w:rPr>
          <w:lang w:val="en-GB"/>
        </w:rPr>
      </w:pPr>
      <w:r w:rsidRPr="00D44766">
        <w:rPr>
          <w:lang w:val="en-GB"/>
        </w:rPr>
        <w:t>Tourism can contribute enormously to a</w:t>
      </w:r>
      <w:r w:rsidR="006656C6" w:rsidRPr="00D44766">
        <w:rPr>
          <w:lang w:val="en-GB"/>
        </w:rPr>
        <w:t>n</w:t>
      </w:r>
      <w:r w:rsidRPr="00D44766">
        <w:rPr>
          <w:lang w:val="en-GB"/>
        </w:rPr>
        <w:t xml:space="preserve"> </w:t>
      </w:r>
      <w:r w:rsidR="006656C6" w:rsidRPr="00D44766">
        <w:rPr>
          <w:lang w:val="en-GB"/>
        </w:rPr>
        <w:t>economic</w:t>
      </w:r>
      <w:r w:rsidRPr="00D44766">
        <w:rPr>
          <w:lang w:val="en-GB"/>
        </w:rPr>
        <w:t xml:space="preserve"> development of a country and individual regions and thus, foste</w:t>
      </w:r>
      <w:r w:rsidR="008A2687" w:rsidRPr="00D44766">
        <w:rPr>
          <w:lang w:val="en-GB"/>
        </w:rPr>
        <w:t>r</w:t>
      </w:r>
      <w:r w:rsidRPr="00D44766">
        <w:rPr>
          <w:lang w:val="en-GB"/>
        </w:rPr>
        <w:t xml:space="preserve"> an exchange of resources between richer and poorer economies (</w:t>
      </w:r>
      <w:r w:rsidRPr="00972AEA">
        <w:rPr>
          <w:color w:val="00B050"/>
          <w:lang w:val="en-GB"/>
        </w:rPr>
        <w:t>Kataya, 2021</w:t>
      </w:r>
      <w:r w:rsidRPr="00D44766">
        <w:rPr>
          <w:lang w:val="en-GB"/>
        </w:rPr>
        <w:t>)</w:t>
      </w:r>
      <w:r w:rsidR="00C96984">
        <w:rPr>
          <w:lang w:val="en-GB"/>
        </w:rPr>
        <w:t xml:space="preserve"> but the </w:t>
      </w:r>
      <w:r w:rsidR="00BE7C79">
        <w:rPr>
          <w:lang w:val="en-GB"/>
        </w:rPr>
        <w:t>sudden</w:t>
      </w:r>
      <w:r w:rsidR="00C96984">
        <w:rPr>
          <w:lang w:val="en-GB"/>
        </w:rPr>
        <w:t xml:space="preserve"> stop of tourism can equally create new social and environmental problems</w:t>
      </w:r>
      <w:r w:rsidRPr="00D44766">
        <w:rPr>
          <w:lang w:val="en-GB"/>
        </w:rPr>
        <w:t>.</w:t>
      </w:r>
      <w:r w:rsidR="00C336F4">
        <w:rPr>
          <w:lang w:val="en-GB"/>
        </w:rPr>
        <w:t xml:space="preserve"> As much as tourism can be the driver of economic development it can also be a great threat (</w:t>
      </w:r>
      <w:r w:rsidR="00821E2B" w:rsidRPr="00821E2B">
        <w:rPr>
          <w:color w:val="70AD47" w:themeColor="accent6"/>
          <w:lang w:val="en-GB"/>
        </w:rPr>
        <w:t>Chilufya, Hughes and Scheyvens, 2019</w:t>
      </w:r>
      <w:r w:rsidR="00C336F4" w:rsidRPr="00821E2B">
        <w:rPr>
          <w:color w:val="70AD47" w:themeColor="accent6"/>
          <w:lang w:val="en-GB"/>
        </w:rPr>
        <w:t>).</w:t>
      </w:r>
      <w:r w:rsidRPr="00D44766">
        <w:rPr>
          <w:lang w:val="en-GB"/>
        </w:rPr>
        <w:t xml:space="preserve"> </w:t>
      </w:r>
      <w:r w:rsidR="003A7BFE" w:rsidRPr="00D44766">
        <w:rPr>
          <w:lang w:val="en-GB"/>
        </w:rPr>
        <w:t>It is by now commonly know</w:t>
      </w:r>
      <w:r w:rsidR="003B278F">
        <w:rPr>
          <w:lang w:val="en-GB"/>
        </w:rPr>
        <w:t>n</w:t>
      </w:r>
      <w:r w:rsidR="003A7BFE" w:rsidRPr="00D44766">
        <w:rPr>
          <w:lang w:val="en-GB"/>
        </w:rPr>
        <w:t xml:space="preserve"> that tourism is inextricably linked to the environment of the host destination (</w:t>
      </w:r>
      <w:r w:rsidR="003A7BFE" w:rsidRPr="00972AEA">
        <w:rPr>
          <w:color w:val="00B050"/>
          <w:lang w:val="en-GB"/>
        </w:rPr>
        <w:t xml:space="preserve">Baker </w:t>
      </w:r>
      <w:r w:rsidR="00972AEA" w:rsidRPr="00972AEA">
        <w:rPr>
          <w:color w:val="00B050"/>
          <w:lang w:val="en-GB"/>
        </w:rPr>
        <w:t>and</w:t>
      </w:r>
      <w:r w:rsidR="003A7BFE" w:rsidRPr="00972AEA">
        <w:rPr>
          <w:color w:val="00B050"/>
          <w:lang w:val="en-GB"/>
        </w:rPr>
        <w:t xml:space="preserve"> Mearns, 2017</w:t>
      </w:r>
      <w:r w:rsidR="003A7BFE" w:rsidRPr="00D44766">
        <w:rPr>
          <w:lang w:val="en-GB"/>
        </w:rPr>
        <w:t xml:space="preserve">). </w:t>
      </w:r>
      <w:r w:rsidR="00A14C94" w:rsidRPr="00D44766">
        <w:rPr>
          <w:rFonts w:cs="Times New Roman"/>
          <w:lang w:val="en-GB"/>
        </w:rPr>
        <w:t>The paradox in tourism</w:t>
      </w:r>
      <w:r w:rsidR="003B278F">
        <w:rPr>
          <w:rFonts w:cs="Times New Roman"/>
          <w:lang w:val="en-GB"/>
        </w:rPr>
        <w:t xml:space="preserve">: </w:t>
      </w:r>
      <w:r w:rsidR="00A14C94" w:rsidRPr="00D44766">
        <w:rPr>
          <w:rFonts w:cs="Times New Roman"/>
          <w:lang w:val="en-GB"/>
        </w:rPr>
        <w:t>tourists are mostly attracted by unique natural settings be it beaches, wildlife under and above water; but with over-tourism though, exactly this asset is gradually being destroyed leading to an inevitable decrease in the attractiveness of the destination (</w:t>
      </w:r>
      <w:r w:rsidR="00A14C94" w:rsidRPr="00972AEA">
        <w:rPr>
          <w:rFonts w:cs="Times New Roman"/>
          <w:color w:val="00B050"/>
          <w:lang w:val="en-GB"/>
        </w:rPr>
        <w:t>Streimikiene et al., 2021</w:t>
      </w:r>
      <w:r w:rsidR="00A14C94" w:rsidRPr="00D44766">
        <w:rPr>
          <w:rFonts w:cs="Times New Roman"/>
          <w:lang w:val="en-GB"/>
        </w:rPr>
        <w:t xml:space="preserve">; </w:t>
      </w:r>
      <w:r w:rsidR="00A14C94" w:rsidRPr="00972AEA">
        <w:rPr>
          <w:rFonts w:cs="Times New Roman"/>
          <w:color w:val="00B050"/>
          <w:lang w:val="en-GB"/>
        </w:rPr>
        <w:t>Butler, 1999; Lu</w:t>
      </w:r>
      <w:r w:rsidR="00640CA2" w:rsidRPr="00972AEA">
        <w:rPr>
          <w:rFonts w:cs="Times New Roman"/>
          <w:color w:val="00B050"/>
          <w:lang w:val="en-GB"/>
        </w:rPr>
        <w:t xml:space="preserve"> and </w:t>
      </w:r>
      <w:r w:rsidR="00A14C94" w:rsidRPr="00972AEA">
        <w:rPr>
          <w:rFonts w:cs="Times New Roman"/>
          <w:color w:val="00B050"/>
          <w:lang w:val="en-GB"/>
        </w:rPr>
        <w:t>Nepal, 20</w:t>
      </w:r>
      <w:r w:rsidR="00640CA2" w:rsidRPr="00972AEA">
        <w:rPr>
          <w:rFonts w:cs="Times New Roman"/>
          <w:color w:val="00B050"/>
          <w:lang w:val="en-GB"/>
        </w:rPr>
        <w:t>1</w:t>
      </w:r>
      <w:r w:rsidR="00A14C94" w:rsidRPr="00972AEA">
        <w:rPr>
          <w:rFonts w:cs="Times New Roman"/>
          <w:color w:val="00B050"/>
          <w:lang w:val="en-GB"/>
        </w:rPr>
        <w:t>9</w:t>
      </w:r>
      <w:r w:rsidR="00A14C94" w:rsidRPr="00D44766">
        <w:rPr>
          <w:rFonts w:cs="Times New Roman"/>
          <w:lang w:val="en-GB"/>
        </w:rPr>
        <w:t xml:space="preserve">; </w:t>
      </w:r>
      <w:r w:rsidR="00A14C94" w:rsidRPr="00972AEA">
        <w:rPr>
          <w:rFonts w:cs="Times New Roman"/>
          <w:color w:val="00B050"/>
          <w:lang w:val="en-GB"/>
        </w:rPr>
        <w:t>Pjerotic 2017</w:t>
      </w:r>
      <w:r w:rsidR="00A14C94" w:rsidRPr="00D44766">
        <w:rPr>
          <w:rFonts w:cs="Times New Roman"/>
          <w:lang w:val="en-GB"/>
        </w:rPr>
        <w:t xml:space="preserve">; </w:t>
      </w:r>
      <w:r w:rsidR="00A14C94" w:rsidRPr="00972AEA">
        <w:rPr>
          <w:rFonts w:cs="Times New Roman"/>
          <w:color w:val="00B050"/>
          <w:lang w:val="en-GB"/>
        </w:rPr>
        <w:t>Waligo</w:t>
      </w:r>
      <w:r w:rsidR="00972AEA" w:rsidRPr="00972AEA">
        <w:rPr>
          <w:rFonts w:cs="Times New Roman"/>
          <w:color w:val="00B050"/>
          <w:lang w:val="en-GB"/>
        </w:rPr>
        <w:t xml:space="preserve">, Clarke and Hawkins, </w:t>
      </w:r>
      <w:r w:rsidR="00A14C94" w:rsidRPr="00972AEA">
        <w:rPr>
          <w:rFonts w:cs="Times New Roman"/>
          <w:color w:val="00B050"/>
          <w:lang w:val="en-GB"/>
        </w:rPr>
        <w:t>2013</w:t>
      </w:r>
      <w:r w:rsidR="00A14C94" w:rsidRPr="00D44766">
        <w:rPr>
          <w:rFonts w:cs="Times New Roman"/>
          <w:lang w:val="en-GB"/>
        </w:rPr>
        <w:t xml:space="preserve">, </w:t>
      </w:r>
      <w:r w:rsidR="00A14C94" w:rsidRPr="00972AEA">
        <w:rPr>
          <w:rFonts w:cs="Times New Roman"/>
          <w:color w:val="00B050"/>
          <w:lang w:val="en-GB"/>
        </w:rPr>
        <w:t>Johann, 2022</w:t>
      </w:r>
      <w:r w:rsidR="00A14C94" w:rsidRPr="00D44766">
        <w:rPr>
          <w:rFonts w:cs="Times New Roman"/>
          <w:lang w:val="en-GB"/>
        </w:rPr>
        <w:t>)</w:t>
      </w:r>
      <w:r w:rsidR="00C63993" w:rsidRPr="00D44766">
        <w:rPr>
          <w:rFonts w:cs="Times New Roman"/>
          <w:lang w:val="en-GB"/>
        </w:rPr>
        <w:t xml:space="preserve"> which will consequently also diminish the local </w:t>
      </w:r>
      <w:r w:rsidR="00172947">
        <w:rPr>
          <w:rFonts w:cs="Times New Roman"/>
          <w:lang w:val="en-GB"/>
        </w:rPr>
        <w:t>(</w:t>
      </w:r>
      <w:r w:rsidR="00C63993" w:rsidRPr="00D44766">
        <w:rPr>
          <w:rFonts w:cs="Times New Roman"/>
          <w:lang w:val="en-GB"/>
        </w:rPr>
        <w:t>tourism</w:t>
      </w:r>
      <w:r w:rsidR="00172947">
        <w:rPr>
          <w:rFonts w:cs="Times New Roman"/>
          <w:lang w:val="en-GB"/>
        </w:rPr>
        <w:t>)</w:t>
      </w:r>
      <w:r w:rsidR="00C63993" w:rsidRPr="00D44766">
        <w:rPr>
          <w:rFonts w:cs="Times New Roman"/>
          <w:lang w:val="en-GB"/>
        </w:rPr>
        <w:t xml:space="preserve"> industry</w:t>
      </w:r>
      <w:r w:rsidR="00206B81">
        <w:rPr>
          <w:rFonts w:cs="Times New Roman"/>
          <w:lang w:val="en-GB"/>
        </w:rPr>
        <w:t xml:space="preserve"> and region</w:t>
      </w:r>
      <w:r w:rsidR="00C63993" w:rsidRPr="00D44766">
        <w:rPr>
          <w:rFonts w:cs="Times New Roman"/>
          <w:lang w:val="en-GB"/>
        </w:rPr>
        <w:t xml:space="preserve"> – it will be compromised economically, socially and environmentally</w:t>
      </w:r>
      <w:r w:rsidR="00C63993" w:rsidRPr="00D44766">
        <w:rPr>
          <w:rFonts w:ascii="Abadi Extra Light" w:hAnsi="Abadi Extra Light" w:cs="Times New Roman"/>
          <w:lang w:val="en-GB"/>
        </w:rPr>
        <w:t xml:space="preserve"> (</w:t>
      </w:r>
      <w:r w:rsidR="00C63993" w:rsidRPr="00972AEA">
        <w:rPr>
          <w:rFonts w:cs="Times New Roman"/>
          <w:color w:val="00B050"/>
          <w:lang w:val="en-GB"/>
        </w:rPr>
        <w:t>Baker and Mearns, 2017</w:t>
      </w:r>
      <w:r w:rsidR="008A2687" w:rsidRPr="00972AEA">
        <w:rPr>
          <w:rFonts w:cs="Times New Roman"/>
          <w:color w:val="00B050"/>
          <w:lang w:val="en-GB"/>
        </w:rPr>
        <w:t>)</w:t>
      </w:r>
      <w:r w:rsidR="004F1076">
        <w:rPr>
          <w:rFonts w:cs="Times New Roman"/>
          <w:color w:val="00B050"/>
          <w:lang w:val="en-GB"/>
        </w:rPr>
        <w:t xml:space="preserve">. </w:t>
      </w:r>
      <w:r w:rsidR="004F1076">
        <w:rPr>
          <w:rFonts w:cs="Times New Roman"/>
          <w:lang w:val="en-GB"/>
        </w:rPr>
        <w:t xml:space="preserve">Many natural and human constructed </w:t>
      </w:r>
      <w:r w:rsidR="004F1076" w:rsidRPr="00375112">
        <w:rPr>
          <w:rFonts w:cs="Times New Roman"/>
          <w:lang w:val="en-GB"/>
        </w:rPr>
        <w:t>attractions of the tourism product can be characterised as a common pool resource (CPRs). These CPRs are typified by being subtractable and nonexcludable (</w:t>
      </w:r>
      <w:r w:rsidR="004F1076" w:rsidRPr="00375112">
        <w:rPr>
          <w:rFonts w:cs="Times New Roman"/>
          <w:color w:val="70AD47" w:themeColor="accent6"/>
          <w:lang w:val="en-GB"/>
        </w:rPr>
        <w:t>Hardin, 1968</w:t>
      </w:r>
      <w:r w:rsidR="004F1076" w:rsidRPr="00375112">
        <w:rPr>
          <w:rFonts w:cs="Times New Roman"/>
          <w:lang w:val="en-GB"/>
        </w:rPr>
        <w:t xml:space="preserve">; </w:t>
      </w:r>
      <w:r w:rsidR="004F1076" w:rsidRPr="00375112">
        <w:rPr>
          <w:rFonts w:cs="Times New Roman"/>
          <w:color w:val="70AD47" w:themeColor="accent6"/>
          <w:lang w:val="en-GB"/>
        </w:rPr>
        <w:t>Briassoulis, 2002</w:t>
      </w:r>
      <w:r w:rsidR="004F1076" w:rsidRPr="00375112">
        <w:rPr>
          <w:rFonts w:cs="Times New Roman"/>
          <w:lang w:val="en-GB"/>
        </w:rPr>
        <w:t>)</w:t>
      </w:r>
      <w:r w:rsidR="006B3A89" w:rsidRPr="00375112">
        <w:rPr>
          <w:rFonts w:cs="Times New Roman"/>
          <w:lang w:val="en-GB"/>
        </w:rPr>
        <w:t>. Subtractability refers to a rivalry among the users whereas nonexcludability refers to the fact that users cannot</w:t>
      </w:r>
      <w:r w:rsidR="00734851" w:rsidRPr="00375112">
        <w:rPr>
          <w:rFonts w:cs="Times New Roman"/>
          <w:lang w:val="en-GB"/>
        </w:rPr>
        <w:t xml:space="preserve"> or only difficultly and costly</w:t>
      </w:r>
      <w:r w:rsidR="006B3A89" w:rsidRPr="00375112">
        <w:rPr>
          <w:rFonts w:cs="Times New Roman"/>
          <w:lang w:val="en-GB"/>
        </w:rPr>
        <w:t xml:space="preserve"> be excluded from the usage</w:t>
      </w:r>
      <w:r w:rsidR="00734851">
        <w:rPr>
          <w:rFonts w:cs="Times New Roman"/>
          <w:lang w:val="en-GB"/>
        </w:rPr>
        <w:t xml:space="preserve"> (</w:t>
      </w:r>
      <w:r w:rsidR="00734851" w:rsidRPr="002E54A5">
        <w:rPr>
          <w:rFonts w:cs="Times New Roman"/>
          <w:color w:val="70AD47" w:themeColor="accent6"/>
          <w:lang w:val="en-GB"/>
        </w:rPr>
        <w:t>Briassoulis, 2002</w:t>
      </w:r>
      <w:r w:rsidR="00734851">
        <w:rPr>
          <w:rFonts w:cs="Times New Roman"/>
          <w:lang w:val="en-GB"/>
        </w:rPr>
        <w:t xml:space="preserve">; </w:t>
      </w:r>
      <w:r w:rsidR="00734851" w:rsidRPr="002E54A5">
        <w:rPr>
          <w:rFonts w:cs="Times New Roman"/>
          <w:color w:val="70AD47" w:themeColor="accent6"/>
          <w:lang w:val="en-GB"/>
        </w:rPr>
        <w:lastRenderedPageBreak/>
        <w:t>Pintassilgo and Silva, 2007</w:t>
      </w:r>
      <w:r w:rsidR="00734851">
        <w:rPr>
          <w:rFonts w:ascii="Roboto" w:hAnsi="Roboto"/>
          <w:color w:val="2C3E50"/>
          <w:sz w:val="23"/>
          <w:szCs w:val="23"/>
          <w:shd w:val="clear" w:color="auto" w:fill="FFFFFF"/>
          <w:lang w:val="en-GB"/>
        </w:rPr>
        <w:t xml:space="preserve">). </w:t>
      </w:r>
      <w:r w:rsidR="00734851" w:rsidRPr="00734851">
        <w:rPr>
          <w:lang w:val="en-GB"/>
        </w:rPr>
        <w:t xml:space="preserve">If </w:t>
      </w:r>
      <w:r w:rsidR="00734851">
        <w:rPr>
          <w:lang w:val="en-GB"/>
        </w:rPr>
        <w:t xml:space="preserve">tourism continues to grow like in pre-COIVD times the </w:t>
      </w:r>
      <w:r w:rsidR="00B76DD5" w:rsidRPr="00EC5775">
        <w:rPr>
          <w:color w:val="00B050"/>
          <w:lang w:val="en-GB"/>
        </w:rPr>
        <w:t>UN</w:t>
      </w:r>
      <w:r w:rsidR="00EC5775" w:rsidRPr="00EC5775">
        <w:rPr>
          <w:color w:val="00B050"/>
          <w:lang w:val="en-GB"/>
        </w:rPr>
        <w:t xml:space="preserve"> Environment Programme</w:t>
      </w:r>
      <w:r w:rsidR="00B76DD5" w:rsidRPr="00EC5775">
        <w:rPr>
          <w:color w:val="00B050"/>
          <w:lang w:val="en-GB"/>
        </w:rPr>
        <w:t xml:space="preserve"> (2017</w:t>
      </w:r>
      <w:r w:rsidR="00B76DD5" w:rsidRPr="00D44766">
        <w:rPr>
          <w:lang w:val="en-GB"/>
        </w:rPr>
        <w:t>)</w:t>
      </w:r>
      <w:r w:rsidR="003A7BFE" w:rsidRPr="00D44766">
        <w:rPr>
          <w:lang w:val="en-GB"/>
        </w:rPr>
        <w:t xml:space="preserve"> </w:t>
      </w:r>
      <w:r w:rsidR="00734851">
        <w:rPr>
          <w:lang w:val="en-GB"/>
        </w:rPr>
        <w:t xml:space="preserve">forecasts that the </w:t>
      </w:r>
      <w:r w:rsidR="003A7BFE" w:rsidRPr="00D44766">
        <w:rPr>
          <w:lang w:val="en-GB"/>
        </w:rPr>
        <w:t>tourism industry will need 154% more energy, 152% more water while simultaneously creating 131% more greenhouse gas emission and 251% more solid waste</w:t>
      </w:r>
      <w:r w:rsidR="00B76DD5" w:rsidRPr="00D44766">
        <w:rPr>
          <w:lang w:val="en-GB"/>
        </w:rPr>
        <w:t>. Therefore, some academics from within the tourism industry question the pre-COVID trajectory which basically translates into constant growth for tourism (</w:t>
      </w:r>
      <w:r w:rsidR="00B76DD5" w:rsidRPr="00972AEA">
        <w:rPr>
          <w:color w:val="00B050"/>
          <w:lang w:val="en-GB"/>
        </w:rPr>
        <w:t>Ioannides and Gyimóthy, 2020</w:t>
      </w:r>
      <w:r w:rsidR="00B76DD5" w:rsidRPr="00D44766">
        <w:rPr>
          <w:lang w:val="en-GB"/>
        </w:rPr>
        <w:t xml:space="preserve">; </w:t>
      </w:r>
      <w:r w:rsidR="00B76DD5" w:rsidRPr="00972AEA">
        <w:rPr>
          <w:color w:val="00B050"/>
          <w:lang w:val="en-GB"/>
        </w:rPr>
        <w:t>Higgins-Desbiolles, 2020</w:t>
      </w:r>
      <w:r w:rsidR="00B76DD5" w:rsidRPr="00D44766">
        <w:rPr>
          <w:lang w:val="en-GB"/>
        </w:rPr>
        <w:t xml:space="preserve">, </w:t>
      </w:r>
      <w:r w:rsidR="00B76DD5" w:rsidRPr="00972AEA">
        <w:rPr>
          <w:color w:val="00B050"/>
          <w:lang w:val="en-GB"/>
        </w:rPr>
        <w:t>Gössling, Scott and Hall, 2020</w:t>
      </w:r>
      <w:r w:rsidR="00B76DD5" w:rsidRPr="00D44766">
        <w:rPr>
          <w:lang w:val="en-GB"/>
        </w:rPr>
        <w:t>)</w:t>
      </w:r>
      <w:r w:rsidR="002751E8" w:rsidRPr="00D44766">
        <w:rPr>
          <w:lang w:val="en-GB"/>
        </w:rPr>
        <w:t xml:space="preserve"> and demand a more sustainable approach to prevent the depletion of tourism</w:t>
      </w:r>
      <w:r w:rsidR="008A2687" w:rsidRPr="00D44766">
        <w:rPr>
          <w:lang w:val="en-GB"/>
        </w:rPr>
        <w:t>’</w:t>
      </w:r>
      <w:r w:rsidR="002751E8" w:rsidRPr="00D44766">
        <w:rPr>
          <w:lang w:val="en-GB"/>
        </w:rPr>
        <w:t>s key assets.</w:t>
      </w:r>
      <w:r w:rsidR="00734851">
        <w:rPr>
          <w:lang w:val="en-GB"/>
        </w:rPr>
        <w:t xml:space="preserve"> </w:t>
      </w:r>
      <w:r w:rsidR="007F5299" w:rsidRPr="00D44766">
        <w:rPr>
          <w:lang w:val="en-GB"/>
        </w:rPr>
        <w:t>Academics within the industry see COVID as a chance to reinvent travel and tourism transforming it to a more responsible and sustainable industry and into a resilient and innovative sector (</w:t>
      </w:r>
      <w:r w:rsidR="007F5299" w:rsidRPr="00972AEA">
        <w:rPr>
          <w:color w:val="00B050"/>
          <w:lang w:val="en-GB"/>
        </w:rPr>
        <w:t>Higgins-Desbiolles, 2020</w:t>
      </w:r>
      <w:r w:rsidR="007F5299" w:rsidRPr="00D44766">
        <w:rPr>
          <w:lang w:val="en-GB"/>
        </w:rPr>
        <w:t xml:space="preserve">, </w:t>
      </w:r>
      <w:r w:rsidR="007F5299" w:rsidRPr="001500AB">
        <w:rPr>
          <w:color w:val="00B050"/>
          <w:lang w:val="en-GB"/>
        </w:rPr>
        <w:t>Nicolás, 2020</w:t>
      </w:r>
      <w:r w:rsidR="007F5299" w:rsidRPr="00D44766">
        <w:rPr>
          <w:lang w:val="en-GB"/>
        </w:rPr>
        <w:t xml:space="preserve">). </w:t>
      </w:r>
      <w:r w:rsidR="00734851">
        <w:rPr>
          <w:lang w:val="en-GB"/>
        </w:rPr>
        <w:t xml:space="preserve">They demand </w:t>
      </w:r>
      <w:r w:rsidR="00EA39A0">
        <w:rPr>
          <w:lang w:val="en-GB"/>
        </w:rPr>
        <w:t xml:space="preserve">post-COVID tourism to happen in a </w:t>
      </w:r>
      <w:r w:rsidR="00CF7A1A" w:rsidRPr="00D44766">
        <w:rPr>
          <w:lang w:val="en-GB"/>
        </w:rPr>
        <w:t xml:space="preserve">considerate manner </w:t>
      </w:r>
      <w:r w:rsidR="00EA39A0">
        <w:rPr>
          <w:lang w:val="en-GB"/>
        </w:rPr>
        <w:t>trying to find</w:t>
      </w:r>
      <w:r w:rsidR="00CF7A1A" w:rsidRPr="00D44766">
        <w:rPr>
          <w:lang w:val="en-GB"/>
        </w:rPr>
        <w:t xml:space="preserve"> a harmony between economic, environmental and social needs of a country/region and should thus be linked to these very three dimensions (</w:t>
      </w:r>
      <w:r w:rsidR="00CF7A1A" w:rsidRPr="00972AEA">
        <w:rPr>
          <w:color w:val="00B050"/>
          <w:lang w:val="en-GB"/>
        </w:rPr>
        <w:t>Streimikiene et al., 2020</w:t>
      </w:r>
      <w:r w:rsidR="00CF7A1A" w:rsidRPr="00D44766">
        <w:rPr>
          <w:lang w:val="en-GB"/>
        </w:rPr>
        <w:t xml:space="preserve">). </w:t>
      </w:r>
      <w:r w:rsidR="00EA39A0">
        <w:rPr>
          <w:lang w:val="en-GB"/>
        </w:rPr>
        <w:t xml:space="preserve">However, the dilemma of tourism is that all three dimensions cannot be equivalently </w:t>
      </w:r>
      <w:r w:rsidR="00EA39A0" w:rsidRPr="00EA39A0">
        <w:rPr>
          <w:lang w:val="en-GB"/>
        </w:rPr>
        <w:t>treated at the same time</w:t>
      </w:r>
      <w:r w:rsidR="00EA39A0">
        <w:rPr>
          <w:lang w:val="en-GB"/>
        </w:rPr>
        <w:t xml:space="preserve">. As seen during the COVID times, a stop in tourism arrivals, can lead to a recovery in natural resources while equally </w:t>
      </w:r>
      <w:r w:rsidR="0094362C">
        <w:rPr>
          <w:lang w:val="en-GB"/>
        </w:rPr>
        <w:t>reducing the quality of life of the local communities who then in turn can become a threat for the natural resources. Hence, these conflicting objectives have to carefully weighted and evaluated when trying to change the tourism trajectory into a more responsible one</w:t>
      </w:r>
      <w:r w:rsidR="007F5299">
        <w:rPr>
          <w:lang w:val="en-GB"/>
        </w:rPr>
        <w:t>. However, reviewing the literature, the call for turning the industry into a more sustainable and responsible one is not new. A</w:t>
      </w:r>
      <w:r w:rsidR="00C63993" w:rsidRPr="00D44766">
        <w:rPr>
          <w:lang w:val="en-GB"/>
        </w:rPr>
        <w:t>lready in 2014, the UNWTO highlighted that various organisations within the industry are not considering the effects or their doings enough and lack accountability</w:t>
      </w:r>
      <w:r w:rsidR="007F5299">
        <w:rPr>
          <w:lang w:val="en-GB"/>
        </w:rPr>
        <w:t xml:space="preserve"> and in 2015, tourism operations were demanded to align with the United Nations SDGs in particular with </w:t>
      </w:r>
      <w:r w:rsidR="0034541C" w:rsidRPr="00D44766">
        <w:rPr>
          <w:lang w:val="en-GB"/>
        </w:rPr>
        <w:t>the following three SDGs</w:t>
      </w:r>
      <w:r w:rsidR="00EC5775">
        <w:rPr>
          <w:lang w:val="en-GB"/>
        </w:rPr>
        <w:t xml:space="preserve"> </w:t>
      </w:r>
      <w:r w:rsidR="00EC5775" w:rsidRPr="00D44766">
        <w:rPr>
          <w:rFonts w:cs="Times New Roman"/>
          <w:szCs w:val="24"/>
          <w:lang w:val="en-GB"/>
        </w:rPr>
        <w:t>(</w:t>
      </w:r>
      <w:r w:rsidR="00EC5775" w:rsidRPr="001500AB">
        <w:rPr>
          <w:rFonts w:cs="Times New Roman"/>
          <w:color w:val="00B050"/>
          <w:szCs w:val="24"/>
          <w:lang w:val="en-GB"/>
        </w:rPr>
        <w:t>Soratana et al., 2021</w:t>
      </w:r>
      <w:r w:rsidR="00EC5775" w:rsidRPr="00D44766">
        <w:rPr>
          <w:rFonts w:cs="Times New Roman"/>
          <w:szCs w:val="24"/>
          <w:lang w:val="en-GB"/>
        </w:rPr>
        <w:t>)</w:t>
      </w:r>
      <w:r w:rsidR="0034541C" w:rsidRPr="00D44766">
        <w:rPr>
          <w:lang w:val="en-GB"/>
        </w:rPr>
        <w:t>:</w:t>
      </w:r>
    </w:p>
    <w:p w14:paraId="0E1EF67A" w14:textId="1093478B" w:rsidR="0034541C" w:rsidRDefault="0034541C" w:rsidP="00206B81">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Goal 8: promoting sustainable tourism and thus creating jobs while promoting the local culture and products through policies</w:t>
      </w:r>
      <w:r w:rsidR="00206B81">
        <w:rPr>
          <w:rFonts w:ascii="Times New Roman" w:hAnsi="Times New Roman" w:cs="Times New Roman"/>
          <w:sz w:val="24"/>
          <w:szCs w:val="24"/>
          <w:lang w:val="en-GB"/>
        </w:rPr>
        <w:t>.</w:t>
      </w:r>
    </w:p>
    <w:p w14:paraId="7CA37FCD" w14:textId="77777777" w:rsidR="00206B81" w:rsidRDefault="00206B81" w:rsidP="00206B81">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Goal 12: developing tool in order to monitor and evaluate all impacts of operations related to tourism.</w:t>
      </w:r>
    </w:p>
    <w:p w14:paraId="7EDA79D0" w14:textId="7D2C6387" w:rsidR="00206B81" w:rsidRPr="00D44766" w:rsidRDefault="00206B81" w:rsidP="00206B81">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Goal 14: promoting sustainable use of resources and promoting well-being of people</w:t>
      </w:r>
      <w:r>
        <w:rPr>
          <w:rFonts w:ascii="Times New Roman" w:hAnsi="Times New Roman" w:cs="Times New Roman"/>
          <w:sz w:val="24"/>
          <w:szCs w:val="24"/>
          <w:lang w:val="en-GB"/>
        </w:rPr>
        <w:t>.</w:t>
      </w:r>
    </w:p>
    <w:p w14:paraId="05DA4BFD" w14:textId="3E9C695C" w:rsidR="00F058E9" w:rsidRPr="00D44766" w:rsidRDefault="00F058E9" w:rsidP="002E26E0">
      <w:pPr>
        <w:contextualSpacing/>
        <w:rPr>
          <w:lang w:val="en-GB"/>
        </w:rPr>
      </w:pPr>
      <w:r w:rsidRPr="00D44766">
        <w:rPr>
          <w:lang w:val="en-GB"/>
        </w:rPr>
        <w:t xml:space="preserve">The </w:t>
      </w:r>
      <w:r w:rsidRPr="001500AB">
        <w:rPr>
          <w:color w:val="00B050"/>
          <w:lang w:val="en-GB"/>
        </w:rPr>
        <w:t>Global Sustainable Tourism Council (GSTC) (2023</w:t>
      </w:r>
      <w:r w:rsidR="00B82CD1">
        <w:rPr>
          <w:color w:val="00B050"/>
          <w:lang w:val="en-GB"/>
        </w:rPr>
        <w:t>a</w:t>
      </w:r>
      <w:r w:rsidRPr="00D44766">
        <w:rPr>
          <w:lang w:val="en-GB"/>
        </w:rPr>
        <w:t xml:space="preserve">) does offer a guideline on its homepage for different travel and tourism stakeholders – hotels/accommodation, TOs, </w:t>
      </w:r>
      <w:r w:rsidR="002751E8" w:rsidRPr="00D44766">
        <w:rPr>
          <w:lang w:val="en-GB"/>
        </w:rPr>
        <w:t>d</w:t>
      </w:r>
      <w:r w:rsidRPr="00D44766">
        <w:rPr>
          <w:lang w:val="en-GB"/>
        </w:rPr>
        <w:t xml:space="preserve">estinations and </w:t>
      </w:r>
      <w:r w:rsidR="002751E8" w:rsidRPr="00D44766">
        <w:rPr>
          <w:lang w:val="en-GB"/>
        </w:rPr>
        <w:t>g</w:t>
      </w:r>
      <w:r w:rsidRPr="00D44766">
        <w:rPr>
          <w:lang w:val="en-GB"/>
        </w:rPr>
        <w:t>overnments, corporate and business travel, certification bodies and even for travel</w:t>
      </w:r>
      <w:r w:rsidR="00833108">
        <w:rPr>
          <w:lang w:val="en-GB"/>
        </w:rPr>
        <w:t>l</w:t>
      </w:r>
      <w:r w:rsidRPr="00D44766">
        <w:rPr>
          <w:lang w:val="en-GB"/>
        </w:rPr>
        <w:t>ers themselves</w:t>
      </w:r>
      <w:r w:rsidR="002751E8" w:rsidRPr="00D44766">
        <w:rPr>
          <w:lang w:val="en-GB"/>
        </w:rPr>
        <w:t xml:space="preserve"> to act more sustainable</w:t>
      </w:r>
      <w:r w:rsidRPr="00D44766">
        <w:rPr>
          <w:lang w:val="en-GB"/>
        </w:rPr>
        <w:t xml:space="preserve">. The goal of the GSTC is to provide standards for sustainable travel and provide internationally accepted criteria for certification purposes. </w:t>
      </w:r>
      <w:r w:rsidR="008B3937" w:rsidRPr="00D44766">
        <w:rPr>
          <w:lang w:val="en-GB"/>
        </w:rPr>
        <w:t xml:space="preserve">Looking at their guiding performance criteria for TOs, they do touch upon more of the SGDs </w:t>
      </w:r>
      <w:r w:rsidR="008B3937" w:rsidRPr="00D44766">
        <w:rPr>
          <w:lang w:val="en-GB"/>
        </w:rPr>
        <w:lastRenderedPageBreak/>
        <w:t xml:space="preserve">as </w:t>
      </w:r>
      <w:r w:rsidR="00E239E1" w:rsidRPr="00D44766">
        <w:rPr>
          <w:lang w:val="en-GB"/>
        </w:rPr>
        <w:t>mentioned</w:t>
      </w:r>
      <w:r w:rsidR="008B3937" w:rsidRPr="00D44766">
        <w:rPr>
          <w:lang w:val="en-GB"/>
        </w:rPr>
        <w:t xml:space="preserve"> above – namely all 17 of the SDGs that sustainable tourism can influence (for detailed information criteria and indicators please see </w:t>
      </w:r>
      <w:hyperlink r:id="rId17" w:history="1">
        <w:r w:rsidR="008B3937" w:rsidRPr="00206B81">
          <w:rPr>
            <w:rStyle w:val="Hyperlink"/>
            <w:color w:val="000000" w:themeColor="text1"/>
            <w:u w:val="none"/>
            <w:lang w:val="en-GB"/>
          </w:rPr>
          <w:t>GSTC homepage</w:t>
        </w:r>
      </w:hyperlink>
      <w:r w:rsidR="008B3937" w:rsidRPr="00D44766">
        <w:rPr>
          <w:lang w:val="en-GB"/>
        </w:rPr>
        <w:t xml:space="preserve">). </w:t>
      </w:r>
    </w:p>
    <w:p w14:paraId="3F92373F" w14:textId="1225BAC5" w:rsidR="007F5299" w:rsidRDefault="002751E8" w:rsidP="00821E2B">
      <w:pPr>
        <w:contextualSpacing/>
        <w:rPr>
          <w:lang w:val="en-GB"/>
        </w:rPr>
      </w:pPr>
      <w:r w:rsidRPr="00D44766">
        <w:rPr>
          <w:lang w:val="en-GB"/>
        </w:rPr>
        <w:t>However, l</w:t>
      </w:r>
      <w:r w:rsidR="0034541C" w:rsidRPr="00D44766">
        <w:rPr>
          <w:lang w:val="en-GB"/>
        </w:rPr>
        <w:t>ooking at the growth trajectory and the UN forecast, tourism seemingly stands in strong contrast to</w:t>
      </w:r>
      <w:r w:rsidR="0048437B">
        <w:rPr>
          <w:lang w:val="en-GB"/>
        </w:rPr>
        <w:t xml:space="preserve"> at least some of</w:t>
      </w:r>
      <w:r w:rsidR="0034541C" w:rsidRPr="00D44766">
        <w:rPr>
          <w:lang w:val="en-GB"/>
        </w:rPr>
        <w:t xml:space="preserve"> the SDGs</w:t>
      </w:r>
      <w:r w:rsidR="0048437B">
        <w:rPr>
          <w:lang w:val="en-GB"/>
        </w:rPr>
        <w:t>. One example being Goal 6 which demands clean water and sanitation.</w:t>
      </w:r>
      <w:r w:rsidR="002648D7">
        <w:rPr>
          <w:lang w:val="en-GB"/>
        </w:rPr>
        <w:t xml:space="preserve"> According to the We Are Water Foundation (2021) in 2017</w:t>
      </w:r>
      <w:r w:rsidR="00206B81">
        <w:rPr>
          <w:lang w:val="en-GB"/>
        </w:rPr>
        <w:t>,</w:t>
      </w:r>
      <w:r w:rsidR="002648D7">
        <w:rPr>
          <w:lang w:val="en-GB"/>
        </w:rPr>
        <w:t xml:space="preserve"> the average European citizens consumes between 120 and 150 </w:t>
      </w:r>
      <w:r w:rsidR="00A062D1">
        <w:rPr>
          <w:lang w:val="en-GB"/>
        </w:rPr>
        <w:t>Litres</w:t>
      </w:r>
      <w:r w:rsidR="002648D7">
        <w:rPr>
          <w:lang w:val="en-GB"/>
        </w:rPr>
        <w:t xml:space="preserve"> of water per day at home; in European hotels, the average guest consumes already 394 </w:t>
      </w:r>
      <w:r w:rsidR="00A062D1">
        <w:rPr>
          <w:lang w:val="en-GB"/>
        </w:rPr>
        <w:t>Litres</w:t>
      </w:r>
      <w:r w:rsidR="002648D7">
        <w:rPr>
          <w:lang w:val="en-GB"/>
        </w:rPr>
        <w:t xml:space="preserve"> per night with consumption rising to 839 </w:t>
      </w:r>
      <w:r w:rsidR="00A062D1">
        <w:rPr>
          <w:lang w:val="en-GB"/>
        </w:rPr>
        <w:t>L</w:t>
      </w:r>
      <w:r w:rsidR="002648D7">
        <w:rPr>
          <w:lang w:val="en-GB"/>
        </w:rPr>
        <w:t xml:space="preserve">iters in Barbados. As 85% of international tourism is going to water-stress areas </w:t>
      </w:r>
      <w:r w:rsidR="0048437B">
        <w:rPr>
          <w:lang w:val="en-GB"/>
        </w:rPr>
        <w:t xml:space="preserve">for example </w:t>
      </w:r>
      <w:r w:rsidR="002648D7">
        <w:rPr>
          <w:lang w:val="en-GB"/>
        </w:rPr>
        <w:t>the Mediterr</w:t>
      </w:r>
      <w:r w:rsidR="0048437B">
        <w:rPr>
          <w:lang w:val="en-GB"/>
        </w:rPr>
        <w:t xml:space="preserve">anean, the Middle and Near East, southern Asia </w:t>
      </w:r>
      <w:r w:rsidR="0048437B" w:rsidRPr="0048437B">
        <w:rPr>
          <w:lang w:val="en-GB"/>
        </w:rPr>
        <w:t>(</w:t>
      </w:r>
      <w:r w:rsidR="0048437B" w:rsidRPr="002033A3">
        <w:rPr>
          <w:color w:val="92D050"/>
          <w:lang w:val="en-GB"/>
        </w:rPr>
        <w:t>Arnell, 2004</w:t>
      </w:r>
      <w:r w:rsidR="0048437B" w:rsidRPr="00F918CC">
        <w:rPr>
          <w:color w:val="FF0000"/>
          <w:lang w:val="en-GB"/>
        </w:rPr>
        <w:t xml:space="preserve">, </w:t>
      </w:r>
      <w:r w:rsidR="0048437B" w:rsidRPr="002033A3">
        <w:rPr>
          <w:color w:val="92D050"/>
          <w:lang w:val="en-GB"/>
        </w:rPr>
        <w:t>Vörösmarty et</w:t>
      </w:r>
      <w:r w:rsidR="002033A3" w:rsidRPr="002033A3">
        <w:rPr>
          <w:color w:val="92D050"/>
          <w:lang w:val="en-GB"/>
        </w:rPr>
        <w:t xml:space="preserve"> </w:t>
      </w:r>
      <w:r w:rsidR="0048437B" w:rsidRPr="002033A3">
        <w:rPr>
          <w:color w:val="92D050"/>
          <w:lang w:val="en-GB"/>
        </w:rPr>
        <w:t>al., 2000</w:t>
      </w:r>
      <w:r w:rsidR="0048437B" w:rsidRPr="00206B81">
        <w:rPr>
          <w:color w:val="000000" w:themeColor="text1"/>
          <w:lang w:val="en-GB"/>
        </w:rPr>
        <w:t>)</w:t>
      </w:r>
      <w:r w:rsidR="00206B81" w:rsidRPr="00206B81">
        <w:rPr>
          <w:color w:val="000000" w:themeColor="text1"/>
          <w:lang w:val="en-GB"/>
        </w:rPr>
        <w:t xml:space="preserve"> the consumption patterns can out additional strain on the local water supplies</w:t>
      </w:r>
      <w:r w:rsidR="00206B81">
        <w:rPr>
          <w:color w:val="000000" w:themeColor="text1"/>
          <w:lang w:val="en-GB"/>
        </w:rPr>
        <w:t xml:space="preserve">. </w:t>
      </w:r>
      <w:r w:rsidR="00AA538D">
        <w:rPr>
          <w:lang w:val="en-GB"/>
        </w:rPr>
        <w:t>Moreover,</w:t>
      </w:r>
      <w:r w:rsidR="0048437B">
        <w:rPr>
          <w:lang w:val="en-GB"/>
        </w:rPr>
        <w:t xml:space="preserve"> according to </w:t>
      </w:r>
      <w:r w:rsidR="0048437B" w:rsidRPr="007658B0">
        <w:rPr>
          <w:color w:val="92D050"/>
          <w:lang w:val="en-GB"/>
        </w:rPr>
        <w:t>Gössling (2006</w:t>
      </w:r>
      <w:r w:rsidR="0048437B">
        <w:rPr>
          <w:lang w:val="en-GB"/>
        </w:rPr>
        <w:t>)</w:t>
      </w:r>
      <w:r w:rsidR="00F918CC">
        <w:rPr>
          <w:lang w:val="en-GB"/>
        </w:rPr>
        <w:t>, tourism decreases the water quality in various regions as proper sewage system are not in place or legal regulations are lacking</w:t>
      </w:r>
      <w:r w:rsidR="00B318C3">
        <w:rPr>
          <w:lang w:val="en-GB"/>
        </w:rPr>
        <w:t xml:space="preserve">. </w:t>
      </w:r>
      <w:r w:rsidR="00206B81">
        <w:rPr>
          <w:lang w:val="en-GB"/>
        </w:rPr>
        <w:t xml:space="preserve">Another contradiction can be found in </w:t>
      </w:r>
      <w:r w:rsidR="00B318C3">
        <w:rPr>
          <w:lang w:val="en-GB"/>
        </w:rPr>
        <w:t>SDG 13</w:t>
      </w:r>
      <w:r w:rsidR="00206B81">
        <w:rPr>
          <w:lang w:val="en-GB"/>
        </w:rPr>
        <w:t>, which</w:t>
      </w:r>
      <w:r w:rsidR="00B318C3">
        <w:rPr>
          <w:lang w:val="en-GB"/>
        </w:rPr>
        <w:t xml:space="preserve"> demands action to reduce climate change</w:t>
      </w:r>
      <w:r w:rsidR="00206B81">
        <w:rPr>
          <w:lang w:val="en-GB"/>
        </w:rPr>
        <w:t>. A</w:t>
      </w:r>
      <w:r w:rsidR="00B318C3">
        <w:rPr>
          <w:lang w:val="en-GB"/>
        </w:rPr>
        <w:t xml:space="preserve">ccording to the </w:t>
      </w:r>
      <w:r w:rsidR="00B318C3" w:rsidRPr="003B750E">
        <w:rPr>
          <w:lang w:val="en-GB"/>
        </w:rPr>
        <w:t>UNWTO (</w:t>
      </w:r>
      <w:r w:rsidR="003D5472" w:rsidRPr="003B750E">
        <w:rPr>
          <w:lang w:val="en-GB"/>
        </w:rPr>
        <w:t>2019</w:t>
      </w:r>
      <w:r w:rsidR="008B16D4">
        <w:rPr>
          <w:lang w:val="en-GB"/>
        </w:rPr>
        <w:t>a</w:t>
      </w:r>
      <w:r w:rsidR="003D5472" w:rsidRPr="003B750E">
        <w:rPr>
          <w:lang w:val="en-GB"/>
        </w:rPr>
        <w:t>)</w:t>
      </w:r>
      <w:r w:rsidR="00F918CC">
        <w:rPr>
          <w:lang w:val="en-GB"/>
        </w:rPr>
        <w:t xml:space="preserve"> </w:t>
      </w:r>
      <w:r w:rsidR="003D5472">
        <w:rPr>
          <w:lang w:val="en-GB"/>
        </w:rPr>
        <w:t xml:space="preserve">the industry </w:t>
      </w:r>
      <w:r w:rsidR="00206B81">
        <w:rPr>
          <w:lang w:val="en-GB"/>
        </w:rPr>
        <w:t>does</w:t>
      </w:r>
      <w:r w:rsidR="003D5472">
        <w:rPr>
          <w:lang w:val="en-GB"/>
        </w:rPr>
        <w:t xml:space="preserve"> contribute to climate change. In the Davos Declaration of 2007 on </w:t>
      </w:r>
      <w:r w:rsidR="00206B81">
        <w:rPr>
          <w:lang w:val="en-GB"/>
        </w:rPr>
        <w:t>c</w:t>
      </w:r>
      <w:r w:rsidR="003D5472">
        <w:rPr>
          <w:lang w:val="en-GB"/>
        </w:rPr>
        <w:t>limate change and tourism, tourism was identified to contribute to approximately 5% of the global CO</w:t>
      </w:r>
      <w:r w:rsidR="003D5472">
        <w:rPr>
          <w:vertAlign w:val="subscript"/>
          <w:lang w:val="en-GB"/>
        </w:rPr>
        <w:t>2</w:t>
      </w:r>
      <w:r w:rsidR="003D5472">
        <w:rPr>
          <w:lang w:val="en-GB"/>
        </w:rPr>
        <w:t xml:space="preserve"> emissions (</w:t>
      </w:r>
      <w:bookmarkStart w:id="32" w:name="_Hlk143332530"/>
      <w:r w:rsidR="003B750E" w:rsidRPr="003B750E">
        <w:rPr>
          <w:lang w:val="en-GB"/>
        </w:rPr>
        <w:t xml:space="preserve">UNWTO, </w:t>
      </w:r>
      <w:r w:rsidR="003D5472" w:rsidRPr="003B750E">
        <w:rPr>
          <w:lang w:val="en-GB"/>
        </w:rPr>
        <w:t>2019</w:t>
      </w:r>
      <w:bookmarkEnd w:id="32"/>
      <w:r w:rsidR="008B16D4">
        <w:rPr>
          <w:lang w:val="en-GB"/>
        </w:rPr>
        <w:t>b</w:t>
      </w:r>
      <w:r w:rsidR="003B750E" w:rsidRPr="003B750E">
        <w:rPr>
          <w:lang w:val="en-GB"/>
        </w:rPr>
        <w:t>).</w:t>
      </w:r>
      <w:r w:rsidR="003B750E">
        <w:rPr>
          <w:lang w:val="en-GB"/>
        </w:rPr>
        <w:t xml:space="preserve"> W</w:t>
      </w:r>
      <w:r w:rsidR="003D5472">
        <w:rPr>
          <w:lang w:val="en-GB"/>
        </w:rPr>
        <w:t>hereby the majority of that is caused by transportation: roughly</w:t>
      </w:r>
      <w:r w:rsidR="003B750E">
        <w:rPr>
          <w:lang w:val="en-GB"/>
        </w:rPr>
        <w:t xml:space="preserve"> 80% (Juvan and Dolnicar, 2014; UNWTO, 2019</w:t>
      </w:r>
      <w:r w:rsidR="008B16D4">
        <w:rPr>
          <w:lang w:val="en-GB"/>
        </w:rPr>
        <w:t>a</w:t>
      </w:r>
      <w:r w:rsidR="003B750E">
        <w:rPr>
          <w:lang w:val="en-GB"/>
        </w:rPr>
        <w:t>)</w:t>
      </w:r>
      <w:r w:rsidR="00D106F1">
        <w:rPr>
          <w:lang w:val="en-GB"/>
        </w:rPr>
        <w:t xml:space="preserve"> and an increase in CO</w:t>
      </w:r>
      <w:r w:rsidR="00D106F1">
        <w:rPr>
          <w:vertAlign w:val="subscript"/>
          <w:lang w:val="en-GB"/>
        </w:rPr>
        <w:t>2</w:t>
      </w:r>
      <w:r w:rsidR="00D106F1">
        <w:rPr>
          <w:lang w:val="en-GB"/>
        </w:rPr>
        <w:t xml:space="preserve"> emissions also affects </w:t>
      </w:r>
      <w:r w:rsidR="00B31ADB">
        <w:rPr>
          <w:lang w:val="en-GB"/>
        </w:rPr>
        <w:t>SGD Goal 15 (care for life on land)</w:t>
      </w:r>
      <w:r w:rsidR="00D106F1">
        <w:rPr>
          <w:lang w:val="en-GB"/>
        </w:rPr>
        <w:t xml:space="preserve">. </w:t>
      </w:r>
      <w:r w:rsidR="00C16F1B">
        <w:rPr>
          <w:lang w:val="en-GB"/>
        </w:rPr>
        <w:t xml:space="preserve">In some destinations tourism can contribute up to 80% of the national emissions (Lenzen et al., 2018). </w:t>
      </w:r>
    </w:p>
    <w:p w14:paraId="0576F988" w14:textId="6EF06E18" w:rsidR="00B86CF2" w:rsidRDefault="001F430E" w:rsidP="002E26E0">
      <w:pPr>
        <w:contextualSpacing/>
        <w:rPr>
          <w:lang w:val="en-GB"/>
        </w:rPr>
      </w:pPr>
      <w:r w:rsidRPr="00D44766">
        <w:rPr>
          <w:lang w:val="en-GB"/>
        </w:rPr>
        <w:t>The question now is, if the pandemic will be a disruptive force to change tourism and travel patterns (</w:t>
      </w:r>
      <w:r w:rsidRPr="001500AB">
        <w:rPr>
          <w:color w:val="00B050"/>
          <w:lang w:val="en-GB"/>
        </w:rPr>
        <w:t>Ioannides and Gyimóthy, 2020</w:t>
      </w:r>
      <w:r w:rsidRPr="00D44766">
        <w:rPr>
          <w:lang w:val="en-GB"/>
        </w:rPr>
        <w:t>) or if it will follow the black swan theory and bounce back to a very similar status as before (</w:t>
      </w:r>
      <w:r w:rsidRPr="00AA2B0E">
        <w:rPr>
          <w:color w:val="00B050"/>
          <w:lang w:val="en-GB"/>
        </w:rPr>
        <w:t>Romagosa, 2020</w:t>
      </w:r>
      <w:r w:rsidRPr="00D44766">
        <w:rPr>
          <w:lang w:val="en-GB"/>
        </w:rPr>
        <w:t>) as it has done so</w:t>
      </w:r>
      <w:r w:rsidR="002751E8" w:rsidRPr="00D44766">
        <w:rPr>
          <w:lang w:val="en-GB"/>
        </w:rPr>
        <w:t xml:space="preserve"> </w:t>
      </w:r>
      <w:r w:rsidRPr="00D44766">
        <w:rPr>
          <w:lang w:val="en-GB"/>
        </w:rPr>
        <w:t>many times before (</w:t>
      </w:r>
      <w:r w:rsidRPr="001500AB">
        <w:rPr>
          <w:color w:val="00B050"/>
          <w:lang w:val="en-GB"/>
        </w:rPr>
        <w:t>Novelli</w:t>
      </w:r>
      <w:r w:rsidR="001500AB" w:rsidRPr="001500AB">
        <w:rPr>
          <w:color w:val="00B050"/>
          <w:lang w:val="en-GB"/>
        </w:rPr>
        <w:t>, Gussing Burgess, Jones and Ritchie</w:t>
      </w:r>
      <w:r w:rsidRPr="001500AB">
        <w:rPr>
          <w:color w:val="00B050"/>
          <w:lang w:val="en-GB"/>
        </w:rPr>
        <w:t>, 2018</w:t>
      </w:r>
      <w:r w:rsidRPr="00D44766">
        <w:rPr>
          <w:lang w:val="en-GB"/>
        </w:rPr>
        <w:t xml:space="preserve">; </w:t>
      </w:r>
      <w:r w:rsidRPr="001500AB">
        <w:rPr>
          <w:color w:val="00B050"/>
          <w:lang w:val="en-GB"/>
        </w:rPr>
        <w:t>Papa</w:t>
      </w:r>
      <w:r w:rsidR="00A64A19" w:rsidRPr="001500AB">
        <w:rPr>
          <w:color w:val="00B050"/>
          <w:lang w:val="en-GB"/>
        </w:rPr>
        <w:t>t</w:t>
      </w:r>
      <w:r w:rsidRPr="001500AB">
        <w:rPr>
          <w:color w:val="00B050"/>
          <w:lang w:val="en-GB"/>
        </w:rPr>
        <w:t>heodorou,</w:t>
      </w:r>
      <w:r w:rsidR="001500AB" w:rsidRPr="001500AB">
        <w:rPr>
          <w:color w:val="00B050"/>
          <w:lang w:val="en-GB"/>
        </w:rPr>
        <w:t xml:space="preserve"> Rosselló and Xiao,</w:t>
      </w:r>
      <w:r w:rsidRPr="001500AB">
        <w:rPr>
          <w:color w:val="00B050"/>
          <w:lang w:val="en-GB"/>
        </w:rPr>
        <w:t xml:space="preserve"> 2010</w:t>
      </w:r>
      <w:r w:rsidRPr="00D44766">
        <w:rPr>
          <w:lang w:val="en-GB"/>
        </w:rPr>
        <w:t>). Trusting the current market figures, evidence point</w:t>
      </w:r>
      <w:r w:rsidR="002751E8" w:rsidRPr="00D44766">
        <w:rPr>
          <w:lang w:val="en-GB"/>
        </w:rPr>
        <w:t>s</w:t>
      </w:r>
      <w:r w:rsidRPr="00D44766">
        <w:rPr>
          <w:lang w:val="en-GB"/>
        </w:rPr>
        <w:t xml:space="preserve"> to a return to the </w:t>
      </w:r>
      <w:r w:rsidR="002751E8" w:rsidRPr="00D44766">
        <w:rPr>
          <w:lang w:val="en-GB"/>
        </w:rPr>
        <w:t xml:space="preserve">pre-pandemic </w:t>
      </w:r>
      <w:r w:rsidRPr="00D44766">
        <w:rPr>
          <w:lang w:val="en-GB"/>
        </w:rPr>
        <w:t>status quo.</w:t>
      </w:r>
      <w:r w:rsidR="00797F78" w:rsidRPr="00D44766">
        <w:rPr>
          <w:lang w:val="en-GB"/>
        </w:rPr>
        <w:t xml:space="preserve"> A return to former glory – to a</w:t>
      </w:r>
      <w:r w:rsidR="002751E8" w:rsidRPr="00D44766">
        <w:rPr>
          <w:lang w:val="en-GB"/>
        </w:rPr>
        <w:t>n</w:t>
      </w:r>
      <w:r w:rsidR="00797F78" w:rsidRPr="00D44766">
        <w:rPr>
          <w:lang w:val="en-GB"/>
        </w:rPr>
        <w:t xml:space="preserve"> industry that is constantly growing – </w:t>
      </w:r>
      <w:r w:rsidR="002751E8" w:rsidRPr="00D44766">
        <w:rPr>
          <w:lang w:val="en-GB"/>
        </w:rPr>
        <w:t>which</w:t>
      </w:r>
      <w:r w:rsidR="008A2687" w:rsidRPr="00D44766">
        <w:rPr>
          <w:lang w:val="en-GB"/>
        </w:rPr>
        <w:t xml:space="preserve"> is</w:t>
      </w:r>
      <w:r w:rsidR="00797F78" w:rsidRPr="00D44766">
        <w:rPr>
          <w:lang w:val="en-GB"/>
        </w:rPr>
        <w:t xml:space="preserve"> also </w:t>
      </w:r>
      <w:r w:rsidR="008A2687" w:rsidRPr="00D44766">
        <w:rPr>
          <w:lang w:val="en-GB"/>
        </w:rPr>
        <w:t xml:space="preserve">being </w:t>
      </w:r>
      <w:r w:rsidR="00797F78" w:rsidRPr="00D44766">
        <w:rPr>
          <w:lang w:val="en-GB"/>
        </w:rPr>
        <w:t>supported by an official side</w:t>
      </w:r>
      <w:r w:rsidR="002751E8" w:rsidRPr="00D44766">
        <w:rPr>
          <w:lang w:val="en-GB"/>
        </w:rPr>
        <w:t>. T</w:t>
      </w:r>
      <w:r w:rsidR="00797F78" w:rsidRPr="00D44766">
        <w:rPr>
          <w:lang w:val="en-GB"/>
        </w:rPr>
        <w:t xml:space="preserve">he official and self-regulating bodies such as </w:t>
      </w:r>
      <w:r w:rsidR="00206B81">
        <w:rPr>
          <w:lang w:val="en-GB"/>
        </w:rPr>
        <w:t>WTTC</w:t>
      </w:r>
      <w:r w:rsidR="00797F78" w:rsidRPr="00D44766">
        <w:rPr>
          <w:lang w:val="en-GB"/>
        </w:rPr>
        <w:t xml:space="preserve"> as well as the </w:t>
      </w:r>
      <w:r w:rsidR="00206B81">
        <w:rPr>
          <w:lang w:val="en-GB"/>
        </w:rPr>
        <w:t xml:space="preserve">UNWTO </w:t>
      </w:r>
      <w:r w:rsidR="00797F78" w:rsidRPr="00D44766">
        <w:rPr>
          <w:lang w:val="en-GB"/>
        </w:rPr>
        <w:t>keep on promoting the tourism industry and its growth (</w:t>
      </w:r>
      <w:r w:rsidR="00797F78" w:rsidRPr="00AA2B0E">
        <w:rPr>
          <w:color w:val="00B050"/>
          <w:lang w:val="en-GB"/>
        </w:rPr>
        <w:t>van der Duim and van Marwijk, 2006)</w:t>
      </w:r>
      <w:r w:rsidR="00797F78" w:rsidRPr="00D44766">
        <w:rPr>
          <w:lang w:val="en-GB"/>
        </w:rPr>
        <w:t xml:space="preserve"> -which in the light of the above makes it contradictory</w:t>
      </w:r>
      <w:r w:rsidR="002751E8" w:rsidRPr="00D44766">
        <w:rPr>
          <w:lang w:val="en-GB"/>
        </w:rPr>
        <w:t xml:space="preserve"> to their </w:t>
      </w:r>
      <w:r w:rsidR="008A2687" w:rsidRPr="00D44766">
        <w:rPr>
          <w:lang w:val="en-GB"/>
        </w:rPr>
        <w:t xml:space="preserve">very </w:t>
      </w:r>
      <w:r w:rsidR="002751E8" w:rsidRPr="00D44766">
        <w:rPr>
          <w:lang w:val="en-GB"/>
        </w:rPr>
        <w:t xml:space="preserve">demand to make the industry more sustainable. So eventually, growth still seems to be number one priority which </w:t>
      </w:r>
      <w:r w:rsidR="008A2687" w:rsidRPr="00D44766">
        <w:rPr>
          <w:lang w:val="en-GB"/>
        </w:rPr>
        <w:t xml:space="preserve">stands in stark contrast to sustainability calls. </w:t>
      </w:r>
    </w:p>
    <w:p w14:paraId="69859B3F" w14:textId="66A36C91" w:rsidR="0034541C" w:rsidRPr="00B86CF2" w:rsidRDefault="00B86CF2" w:rsidP="002E26E0">
      <w:pPr>
        <w:contextualSpacing/>
        <w:rPr>
          <w:color w:val="FF0000"/>
          <w:lang w:val="en-GB"/>
        </w:rPr>
      </w:pPr>
      <w:r>
        <w:rPr>
          <w:lang w:val="en-GB"/>
        </w:rPr>
        <w:t>While</w:t>
      </w:r>
      <w:r w:rsidRPr="00B86CF2">
        <w:rPr>
          <w:lang w:val="en-GB"/>
        </w:rPr>
        <w:t xml:space="preserve"> keeping all the </w:t>
      </w:r>
      <w:r>
        <w:rPr>
          <w:lang w:val="en-GB"/>
        </w:rPr>
        <w:t xml:space="preserve">breached </w:t>
      </w:r>
      <w:r w:rsidRPr="00B86CF2">
        <w:rPr>
          <w:lang w:val="en-GB"/>
        </w:rPr>
        <w:t>criticism about the continuous growth of touris</w:t>
      </w:r>
      <w:r>
        <w:rPr>
          <w:lang w:val="en-GB"/>
        </w:rPr>
        <w:t xml:space="preserve">m and the effects in mind, the positive sides of tourism also need to be considered. As shown during COVID, the livelihood of many people </w:t>
      </w:r>
      <w:r w:rsidR="00AA538D">
        <w:rPr>
          <w:lang w:val="en-GB"/>
        </w:rPr>
        <w:t>depends</w:t>
      </w:r>
      <w:r>
        <w:rPr>
          <w:lang w:val="en-GB"/>
        </w:rPr>
        <w:t xml:space="preserve"> on </w:t>
      </w:r>
      <w:r w:rsidR="00AA538D">
        <w:rPr>
          <w:lang w:val="en-GB"/>
        </w:rPr>
        <w:t>tourism,</w:t>
      </w:r>
      <w:r>
        <w:rPr>
          <w:lang w:val="en-GB"/>
        </w:rPr>
        <w:t xml:space="preserve"> and it is a tool to foster economic </w:t>
      </w:r>
      <w:r>
        <w:rPr>
          <w:lang w:val="en-GB"/>
        </w:rPr>
        <w:lastRenderedPageBreak/>
        <w:t>growth</w:t>
      </w:r>
      <w:r w:rsidR="00A72BA2">
        <w:rPr>
          <w:lang w:val="en-GB"/>
        </w:rPr>
        <w:t>.</w:t>
      </w:r>
      <w:r w:rsidR="007D7D4B">
        <w:rPr>
          <w:lang w:val="en-GB"/>
        </w:rPr>
        <w:t xml:space="preserve"> </w:t>
      </w:r>
      <w:r w:rsidR="00A72BA2">
        <w:rPr>
          <w:lang w:val="en-GB"/>
        </w:rPr>
        <w:t>W</w:t>
      </w:r>
      <w:r w:rsidR="007D7D4B">
        <w:rPr>
          <w:lang w:val="en-GB"/>
        </w:rPr>
        <w:t>hen requesting</w:t>
      </w:r>
      <w:r w:rsidR="00A72BA2">
        <w:rPr>
          <w:lang w:val="en-GB"/>
        </w:rPr>
        <w:t xml:space="preserve"> and demanding</w:t>
      </w:r>
      <w:r w:rsidR="007D7D4B">
        <w:rPr>
          <w:lang w:val="en-GB"/>
        </w:rPr>
        <w:t xml:space="preserve"> a degrowth of tourism flow these aspects need to be </w:t>
      </w:r>
      <w:r w:rsidR="00A72BA2">
        <w:rPr>
          <w:lang w:val="en-GB"/>
        </w:rPr>
        <w:t xml:space="preserve">carefully </w:t>
      </w:r>
      <w:r w:rsidR="007D7D4B">
        <w:rPr>
          <w:lang w:val="en-GB"/>
        </w:rPr>
        <w:t xml:space="preserve">considered and alternatives need to be developed to absorb this loss in income. </w:t>
      </w:r>
    </w:p>
    <w:p w14:paraId="2E160C9B" w14:textId="5CFB0E9A" w:rsidR="009D2713" w:rsidRDefault="002751E8" w:rsidP="002E26E0">
      <w:pPr>
        <w:contextualSpacing/>
        <w:rPr>
          <w:lang w:val="en-GB"/>
        </w:rPr>
      </w:pPr>
      <w:r w:rsidRPr="00D44766">
        <w:rPr>
          <w:lang w:val="en-GB"/>
        </w:rPr>
        <w:t>T</w:t>
      </w:r>
      <w:r w:rsidR="004B370D" w:rsidRPr="00D44766">
        <w:rPr>
          <w:lang w:val="en-GB"/>
        </w:rPr>
        <w:t>aking all of the above together, a call for more sustainable operations within tourism is necessary</w:t>
      </w:r>
      <w:r w:rsidR="00A72BA2">
        <w:rPr>
          <w:lang w:val="en-GB"/>
        </w:rPr>
        <w:t xml:space="preserve"> and the industry needs to take a different route to sustain its business </w:t>
      </w:r>
      <w:r w:rsidR="009D2713">
        <w:rPr>
          <w:lang w:val="en-GB"/>
        </w:rPr>
        <w:t>foundation</w:t>
      </w:r>
      <w:r w:rsidR="004B370D" w:rsidRPr="00D44766">
        <w:rPr>
          <w:lang w:val="en-GB"/>
        </w:rPr>
        <w:t>.</w:t>
      </w:r>
      <w:r w:rsidR="00A72BA2">
        <w:rPr>
          <w:lang w:val="en-GB"/>
        </w:rPr>
        <w:t xml:space="preserve"> </w:t>
      </w:r>
      <w:r w:rsidR="009D2713">
        <w:rPr>
          <w:lang w:val="en-GB"/>
        </w:rPr>
        <w:t xml:space="preserve">Talking to industry insiders, there seems to be a slow but steady movement and companies do concern themselves more </w:t>
      </w:r>
      <w:r w:rsidR="00AA538D">
        <w:rPr>
          <w:lang w:val="en-GB"/>
        </w:rPr>
        <w:t>and</w:t>
      </w:r>
      <w:r w:rsidR="009D2713">
        <w:rPr>
          <w:lang w:val="en-GB"/>
        </w:rPr>
        <w:t xml:space="preserve"> more with these topics. Where a couple of years ago, sustainability was only a side note during conferences etc</w:t>
      </w:r>
      <w:r w:rsidR="00206B81">
        <w:rPr>
          <w:lang w:val="en-GB"/>
        </w:rPr>
        <w:t>.</w:t>
      </w:r>
      <w:r w:rsidR="009D2713">
        <w:rPr>
          <w:lang w:val="en-GB"/>
        </w:rPr>
        <w:t xml:space="preserve">, there are now workshops, presentations and sustainability has become a major topic during every conference. During the largest </w:t>
      </w:r>
      <w:r w:rsidR="00206B81">
        <w:rPr>
          <w:lang w:val="en-GB"/>
        </w:rPr>
        <w:t>t</w:t>
      </w:r>
      <w:r w:rsidR="009D2713">
        <w:rPr>
          <w:lang w:val="en-GB"/>
        </w:rPr>
        <w:t xml:space="preserve">ourism fair ITB Berlin, an entire Conference day was held under the topic of Responsible Tourism (see congress program of </w:t>
      </w:r>
      <w:hyperlink r:id="rId18" w:history="1">
        <w:r w:rsidR="009D2713" w:rsidRPr="00A75FB5">
          <w:rPr>
            <w:rStyle w:val="Hyperlink"/>
            <w:color w:val="auto"/>
            <w:lang w:val="en-GB"/>
          </w:rPr>
          <w:t>ITB 2023</w:t>
        </w:r>
      </w:hyperlink>
      <w:r w:rsidR="009D2713" w:rsidRPr="00A75FB5">
        <w:rPr>
          <w:lang w:val="en-GB"/>
        </w:rPr>
        <w:t>).</w:t>
      </w:r>
      <w:r w:rsidR="009D2713">
        <w:rPr>
          <w:lang w:val="en-GB"/>
        </w:rPr>
        <w:t xml:space="preserve"> </w:t>
      </w:r>
    </w:p>
    <w:p w14:paraId="0ABC3814" w14:textId="490D01E9" w:rsidR="004B370D" w:rsidRDefault="009D2713" w:rsidP="004207A0">
      <w:pPr>
        <w:contextualSpacing/>
        <w:rPr>
          <w:lang w:val="en-GB"/>
        </w:rPr>
      </w:pPr>
      <w:r>
        <w:rPr>
          <w:lang w:val="en-GB"/>
        </w:rPr>
        <w:t>While t</w:t>
      </w:r>
      <w:r w:rsidR="004B370D" w:rsidRPr="00D44766">
        <w:rPr>
          <w:lang w:val="en-GB"/>
        </w:rPr>
        <w:t xml:space="preserve">he luxury industry has long been under the radar of sustainability </w:t>
      </w:r>
      <w:r w:rsidR="00206B81">
        <w:rPr>
          <w:lang w:val="en-GB"/>
        </w:rPr>
        <w:t xml:space="preserve">debates </w:t>
      </w:r>
      <w:r w:rsidR="004B370D" w:rsidRPr="00AA2B0E">
        <w:rPr>
          <w:color w:val="00B050"/>
          <w:lang w:val="en-GB"/>
        </w:rPr>
        <w:t>(Bendell and Kleanthous, 2007</w:t>
      </w:r>
      <w:r w:rsidR="004B370D" w:rsidRPr="00D44766">
        <w:rPr>
          <w:lang w:val="en-GB"/>
        </w:rPr>
        <w:t>)</w:t>
      </w:r>
      <w:r>
        <w:rPr>
          <w:lang w:val="en-GB"/>
        </w:rPr>
        <w:t xml:space="preserve"> there</w:t>
      </w:r>
      <w:r w:rsidR="00206B81">
        <w:rPr>
          <w:lang w:val="en-GB"/>
        </w:rPr>
        <w:t xml:space="preserve"> now</w:t>
      </w:r>
      <w:r>
        <w:rPr>
          <w:lang w:val="en-GB"/>
        </w:rPr>
        <w:t xml:space="preserve"> also is an increased awareness for action. Especially looking at the </w:t>
      </w:r>
      <w:r w:rsidR="004B370D" w:rsidRPr="00D44766">
        <w:rPr>
          <w:lang w:val="en-GB"/>
        </w:rPr>
        <w:t>hospitality sector</w:t>
      </w:r>
      <w:r>
        <w:rPr>
          <w:lang w:val="en-GB"/>
        </w:rPr>
        <w:t xml:space="preserve">, accommodation providers often </w:t>
      </w:r>
      <w:r w:rsidR="004B370D" w:rsidRPr="00D44766">
        <w:rPr>
          <w:lang w:val="en-GB"/>
        </w:rPr>
        <w:t xml:space="preserve">have strong roots and ties in their respective destinations of operations and are already focused </w:t>
      </w:r>
      <w:r w:rsidR="002751E8" w:rsidRPr="00D44766">
        <w:rPr>
          <w:lang w:val="en-GB"/>
        </w:rPr>
        <w:t xml:space="preserve">on </w:t>
      </w:r>
      <w:r w:rsidR="004B370D" w:rsidRPr="00D44766">
        <w:rPr>
          <w:lang w:val="en-GB"/>
        </w:rPr>
        <w:t>promoting sustainable and responsible tourism</w:t>
      </w:r>
      <w:r w:rsidR="002751E8" w:rsidRPr="00D44766">
        <w:rPr>
          <w:lang w:val="en-GB"/>
        </w:rPr>
        <w:t xml:space="preserve"> – and i</w:t>
      </w:r>
      <w:r w:rsidR="004B370D" w:rsidRPr="00D44766">
        <w:rPr>
          <w:lang w:val="en-GB"/>
        </w:rPr>
        <w:t xml:space="preserve">t has also become </w:t>
      </w:r>
      <w:r w:rsidR="00236FDE">
        <w:rPr>
          <w:lang w:val="en-GB"/>
        </w:rPr>
        <w:t>“</w:t>
      </w:r>
      <w:r w:rsidR="004B370D" w:rsidRPr="00D44766">
        <w:rPr>
          <w:lang w:val="en-GB"/>
        </w:rPr>
        <w:t>popular</w:t>
      </w:r>
      <w:r w:rsidR="00236FDE">
        <w:rPr>
          <w:lang w:val="en-GB"/>
        </w:rPr>
        <w:t>”</w:t>
      </w:r>
      <w:r w:rsidR="004B370D" w:rsidRPr="00D44766">
        <w:rPr>
          <w:lang w:val="en-GB"/>
        </w:rPr>
        <w:t xml:space="preserve"> for larger hospitality brands- Six Senses Hotels Resorts Spa, </w:t>
      </w:r>
      <w:r w:rsidR="00A64A19" w:rsidRPr="00D44766">
        <w:rPr>
          <w:lang w:val="en-GB"/>
        </w:rPr>
        <w:t>Asili</w:t>
      </w:r>
      <w:r w:rsidR="008B3937" w:rsidRPr="00D44766">
        <w:rPr>
          <w:lang w:val="en-GB"/>
        </w:rPr>
        <w:t>a</w:t>
      </w:r>
      <w:r w:rsidR="00A64A19" w:rsidRPr="00D44766">
        <w:rPr>
          <w:lang w:val="en-GB"/>
        </w:rPr>
        <w:t xml:space="preserve">, </w:t>
      </w:r>
      <w:r w:rsidR="004B370D" w:rsidRPr="00D44766">
        <w:rPr>
          <w:lang w:val="en-GB"/>
        </w:rPr>
        <w:t>andBeyond, Iberostar Hotels only to name a few</w:t>
      </w:r>
      <w:r w:rsidR="002751E8" w:rsidRPr="00D44766">
        <w:rPr>
          <w:lang w:val="en-GB"/>
        </w:rPr>
        <w:t xml:space="preserve"> </w:t>
      </w:r>
      <w:r w:rsidR="005F166F" w:rsidRPr="00D44766">
        <w:rPr>
          <w:lang w:val="en-GB"/>
        </w:rPr>
        <w:t xml:space="preserve">- </w:t>
      </w:r>
      <w:r w:rsidR="002751E8" w:rsidRPr="00D44766">
        <w:rPr>
          <w:lang w:val="en-GB"/>
        </w:rPr>
        <w:t>to invest themselves into a more sustainable approach to travel</w:t>
      </w:r>
      <w:r w:rsidR="004B370D" w:rsidRPr="00D44766">
        <w:rPr>
          <w:lang w:val="en-GB"/>
        </w:rPr>
        <w:t>. These operators offer high-quality tourism experiences while equally caring for the people and the destination in which they operate (</w:t>
      </w:r>
      <w:r w:rsidR="004B370D" w:rsidRPr="00AA2B0E">
        <w:rPr>
          <w:color w:val="00B050"/>
          <w:lang w:val="en-GB"/>
        </w:rPr>
        <w:t>Romagosa, 2020</w:t>
      </w:r>
      <w:r w:rsidR="004B370D" w:rsidRPr="00D44766">
        <w:rPr>
          <w:lang w:val="en-GB"/>
        </w:rPr>
        <w:t xml:space="preserve">). </w:t>
      </w:r>
      <w:r>
        <w:rPr>
          <w:lang w:val="en-GB"/>
        </w:rPr>
        <w:t xml:space="preserve">But they only represent a minor group in a specific industry segment, the luxury travel segment. </w:t>
      </w:r>
      <w:r w:rsidR="004207A0">
        <w:rPr>
          <w:lang w:val="en-GB"/>
        </w:rPr>
        <w:t>Despite</w:t>
      </w:r>
      <w:r w:rsidR="00236FDE">
        <w:rPr>
          <w:lang w:val="en-GB"/>
        </w:rPr>
        <w:t xml:space="preserve"> that</w:t>
      </w:r>
      <w:r w:rsidR="004207A0">
        <w:rPr>
          <w:lang w:val="en-GB"/>
        </w:rPr>
        <w:t>, t</w:t>
      </w:r>
      <w:r w:rsidR="004B370D" w:rsidRPr="00D44766">
        <w:rPr>
          <w:lang w:val="en-GB"/>
        </w:rPr>
        <w:t>he potential seems to be there – the challenge though: to find a suitable balance</w:t>
      </w:r>
      <w:r w:rsidR="00456568" w:rsidRPr="00D44766">
        <w:rPr>
          <w:lang w:val="en-GB"/>
        </w:rPr>
        <w:t xml:space="preserve"> between social, environmental and economic aspects in every destination (</w:t>
      </w:r>
      <w:r w:rsidR="00456568" w:rsidRPr="00AA2B0E">
        <w:rPr>
          <w:color w:val="00B050"/>
          <w:lang w:val="en-GB"/>
        </w:rPr>
        <w:t>Romagosa, 2020</w:t>
      </w:r>
      <w:r w:rsidR="00456568" w:rsidRPr="00D44766">
        <w:rPr>
          <w:lang w:val="en-GB"/>
        </w:rPr>
        <w:t>)</w:t>
      </w:r>
      <w:r w:rsidR="00236FDE">
        <w:rPr>
          <w:lang w:val="en-GB"/>
        </w:rPr>
        <w:t xml:space="preserve"> and to extend these more sustainable and responsible approaches beyond the luxury industry and into the more mainstream markets. </w:t>
      </w:r>
      <w:r w:rsidR="00456568" w:rsidRPr="00D44766">
        <w:rPr>
          <w:lang w:val="en-GB"/>
        </w:rPr>
        <w:t xml:space="preserve">Because the question really is </w:t>
      </w:r>
      <w:r w:rsidR="005F166F" w:rsidRPr="00D44766">
        <w:rPr>
          <w:lang w:val="en-GB"/>
        </w:rPr>
        <w:t>‘</w:t>
      </w:r>
      <w:r w:rsidR="00456568" w:rsidRPr="00D44766">
        <w:rPr>
          <w:lang w:val="en-GB"/>
        </w:rPr>
        <w:t>should the happy few enjoy these [</w:t>
      </w:r>
      <w:r w:rsidR="00E239E1" w:rsidRPr="00D44766">
        <w:rPr>
          <w:lang w:val="en-GB"/>
        </w:rPr>
        <w:t>five-star</w:t>
      </w:r>
      <w:r w:rsidR="00456568" w:rsidRPr="00D44766">
        <w:rPr>
          <w:lang w:val="en-GB"/>
        </w:rPr>
        <w:t xml:space="preserve"> hotel and resorts] while the wider population is starving a few yards from their dining room?</w:t>
      </w:r>
      <w:r w:rsidR="005F166F" w:rsidRPr="00D44766">
        <w:rPr>
          <w:lang w:val="en-GB"/>
        </w:rPr>
        <w:t>’</w:t>
      </w:r>
      <w:r w:rsidR="00456568" w:rsidRPr="00D44766">
        <w:rPr>
          <w:lang w:val="en-GB"/>
        </w:rPr>
        <w:t xml:space="preserve"> (</w:t>
      </w:r>
      <w:r w:rsidR="00394307">
        <w:rPr>
          <w:color w:val="00B050"/>
          <w:lang w:val="en-GB"/>
        </w:rPr>
        <w:t>Kapferer and Michaut-Denizeau, 2014, p. 6</w:t>
      </w:r>
      <w:r w:rsidR="00456568" w:rsidRPr="00D44766">
        <w:rPr>
          <w:lang w:val="en-GB"/>
        </w:rPr>
        <w:t>)</w:t>
      </w:r>
      <w:r w:rsidR="002751E8" w:rsidRPr="00D44766">
        <w:rPr>
          <w:lang w:val="en-GB"/>
        </w:rPr>
        <w:t>.</w:t>
      </w:r>
      <w:r w:rsidR="00C929E1">
        <w:rPr>
          <w:lang w:val="en-GB"/>
        </w:rPr>
        <w:t xml:space="preserve"> </w:t>
      </w:r>
    </w:p>
    <w:p w14:paraId="16BE5DC1" w14:textId="57A95AC4" w:rsidR="00661EAB" w:rsidRPr="00D44766" w:rsidRDefault="00AE26EB" w:rsidP="002E26E0">
      <w:pPr>
        <w:pStyle w:val="berschrift1"/>
        <w:contextualSpacing/>
        <w:rPr>
          <w:lang w:val="en-GB"/>
        </w:rPr>
      </w:pPr>
      <w:bookmarkStart w:id="33" w:name="_Toc143330985"/>
      <w:bookmarkStart w:id="34" w:name="_Toc143361652"/>
      <w:r>
        <w:rPr>
          <w:lang w:val="en-GB"/>
        </w:rPr>
        <w:t>3</w:t>
      </w:r>
      <w:r w:rsidR="00661EAB" w:rsidRPr="00D44766">
        <w:rPr>
          <w:lang w:val="en-GB"/>
        </w:rPr>
        <w:t>. Corporate Social Responsibility</w:t>
      </w:r>
      <w:bookmarkEnd w:id="33"/>
      <w:bookmarkEnd w:id="34"/>
    </w:p>
    <w:p w14:paraId="5280B7E6" w14:textId="4B7C86F5" w:rsidR="00661EAB" w:rsidRPr="00D44766" w:rsidRDefault="00661EAB" w:rsidP="002E26E0">
      <w:pPr>
        <w:contextualSpacing/>
        <w:rPr>
          <w:lang w:val="en-GB"/>
        </w:rPr>
      </w:pPr>
      <w:r w:rsidRPr="00D44766">
        <w:rPr>
          <w:lang w:val="en-GB"/>
        </w:rPr>
        <w:t>The following chapter will take a closer look at the topic of Corporate Social Responsibility (CSR). First, it starts with a</w:t>
      </w:r>
      <w:r w:rsidR="009C6F79" w:rsidRPr="00D44766">
        <w:rPr>
          <w:lang w:val="en-GB"/>
        </w:rPr>
        <w:t>n</w:t>
      </w:r>
      <w:r w:rsidRPr="00D44766">
        <w:rPr>
          <w:lang w:val="en-GB"/>
        </w:rPr>
        <w:t xml:space="preserve"> introduction and definition of CSR, before looping back to the tourism industry and clarifying what CSR, sustainability and other terms and concepts commonly used in the tourism industry have in common/differentiate from each other</w:t>
      </w:r>
      <w:r w:rsidR="00956168">
        <w:rPr>
          <w:lang w:val="en-GB"/>
        </w:rPr>
        <w:t xml:space="preserve">. This chapter will also </w:t>
      </w:r>
      <w:r w:rsidRPr="00D44766">
        <w:rPr>
          <w:lang w:val="en-GB"/>
        </w:rPr>
        <w:t>tak</w:t>
      </w:r>
      <w:r w:rsidR="002A6883">
        <w:rPr>
          <w:lang w:val="en-GB"/>
        </w:rPr>
        <w:t>e</w:t>
      </w:r>
      <w:r w:rsidRPr="00D44766">
        <w:rPr>
          <w:lang w:val="en-GB"/>
        </w:rPr>
        <w:t xml:space="preserve"> a closer look if </w:t>
      </w:r>
      <w:r w:rsidR="009C6F79" w:rsidRPr="00D44766">
        <w:rPr>
          <w:lang w:val="en-GB"/>
        </w:rPr>
        <w:t xml:space="preserve">the concepts of </w:t>
      </w:r>
      <w:r w:rsidRPr="00D44766">
        <w:rPr>
          <w:lang w:val="en-GB"/>
        </w:rPr>
        <w:t xml:space="preserve">luxury and sustainability can be congruent. The chapter will end with </w:t>
      </w:r>
      <w:r w:rsidR="00BB2323" w:rsidRPr="00D44766">
        <w:rPr>
          <w:lang w:val="en-GB"/>
        </w:rPr>
        <w:t>investigating</w:t>
      </w:r>
      <w:r w:rsidRPr="00D44766">
        <w:rPr>
          <w:lang w:val="en-GB"/>
        </w:rPr>
        <w:t xml:space="preserve"> the (purchasing) behaviours </w:t>
      </w:r>
      <w:r w:rsidR="00BB2323" w:rsidRPr="00D44766">
        <w:rPr>
          <w:lang w:val="en-GB"/>
        </w:rPr>
        <w:t xml:space="preserve">of consumers </w:t>
      </w:r>
      <w:r w:rsidRPr="00D44766">
        <w:rPr>
          <w:lang w:val="en-GB"/>
        </w:rPr>
        <w:t>when it comes to CSR initiative in the</w:t>
      </w:r>
      <w:r w:rsidR="002150D1" w:rsidRPr="00D44766">
        <w:rPr>
          <w:lang w:val="en-GB"/>
        </w:rPr>
        <w:t xml:space="preserve"> luxury segment. </w:t>
      </w:r>
    </w:p>
    <w:p w14:paraId="3747370B" w14:textId="5BFDDAE9" w:rsidR="002150D1" w:rsidRPr="00AE26EB" w:rsidRDefault="00AE26EB" w:rsidP="001D5BF4">
      <w:pPr>
        <w:pStyle w:val="berschrift2"/>
        <w:rPr>
          <w:lang w:val="en-GB"/>
        </w:rPr>
      </w:pPr>
      <w:bookmarkStart w:id="35" w:name="_Toc143330986"/>
      <w:bookmarkStart w:id="36" w:name="_Toc143361653"/>
      <w:r>
        <w:rPr>
          <w:lang w:val="en-GB"/>
        </w:rPr>
        <w:lastRenderedPageBreak/>
        <w:t>3</w:t>
      </w:r>
      <w:r w:rsidR="001D5BF4" w:rsidRPr="00AE26EB">
        <w:rPr>
          <w:lang w:val="en-GB"/>
        </w:rPr>
        <w:t xml:space="preserve">.1. </w:t>
      </w:r>
      <w:r w:rsidR="002150D1" w:rsidRPr="00AE26EB">
        <w:rPr>
          <w:lang w:val="en-GB"/>
        </w:rPr>
        <w:t>C</w:t>
      </w:r>
      <w:r w:rsidR="00785804" w:rsidRPr="00AE26EB">
        <w:rPr>
          <w:lang w:val="en-GB"/>
        </w:rPr>
        <w:t xml:space="preserve">orporate Social Responsibility </w:t>
      </w:r>
      <w:r w:rsidR="002150D1" w:rsidRPr="00AE26EB">
        <w:rPr>
          <w:lang w:val="en-GB"/>
        </w:rPr>
        <w:t>– a definition</w:t>
      </w:r>
      <w:bookmarkEnd w:id="35"/>
      <w:bookmarkEnd w:id="36"/>
    </w:p>
    <w:p w14:paraId="5AA449CE" w14:textId="78DF60A5" w:rsidR="00B42976" w:rsidRPr="00D44766" w:rsidRDefault="00785804" w:rsidP="002E26E0">
      <w:pPr>
        <w:contextualSpacing/>
        <w:rPr>
          <w:lang w:val="en-GB"/>
        </w:rPr>
      </w:pPr>
      <w:r w:rsidRPr="00D44766">
        <w:rPr>
          <w:lang w:val="en-GB"/>
        </w:rPr>
        <w:t>Reviewing Corporate Social Responsibility (CSR) in the literature numerous definition</w:t>
      </w:r>
      <w:r w:rsidR="00135350" w:rsidRPr="00D44766">
        <w:rPr>
          <w:lang w:val="en-GB"/>
        </w:rPr>
        <w:t>s</w:t>
      </w:r>
      <w:r w:rsidRPr="00D44766">
        <w:rPr>
          <w:lang w:val="en-GB"/>
        </w:rPr>
        <w:t xml:space="preserve"> in a myriad of facets can be found. Up to today</w:t>
      </w:r>
      <w:r w:rsidR="00AB2C1C">
        <w:rPr>
          <w:lang w:val="en-GB"/>
        </w:rPr>
        <w:t>,</w:t>
      </w:r>
      <w:r w:rsidRPr="00D44766">
        <w:rPr>
          <w:lang w:val="en-GB"/>
        </w:rPr>
        <w:t xml:space="preserve"> there is not one universally agreed upon definition of the concept. Following </w:t>
      </w:r>
      <w:r w:rsidRPr="00D876A5">
        <w:rPr>
          <w:color w:val="70AD47" w:themeColor="accent6"/>
          <w:lang w:val="en-GB"/>
        </w:rPr>
        <w:t>the International Organization for Standardization (2010)</w:t>
      </w:r>
      <w:r w:rsidR="00426B23" w:rsidRPr="00D876A5">
        <w:rPr>
          <w:color w:val="70AD47" w:themeColor="accent6"/>
          <w:lang w:val="en-GB"/>
        </w:rPr>
        <w:t>,</w:t>
      </w:r>
      <w:r w:rsidRPr="00D44766">
        <w:rPr>
          <w:lang w:val="en-GB"/>
        </w:rPr>
        <w:t xml:space="preserve"> CSR can be defined as: </w:t>
      </w:r>
      <w:r w:rsidR="00D876A5" w:rsidRPr="00D44766">
        <w:rPr>
          <w:i/>
          <w:iCs/>
          <w:lang w:val="en-GB"/>
        </w:rPr>
        <w:t>‘the responsibility of an organization for the impacts of this decisions and activities on society and the environment, through transparent and ethical behaviour that contributes to sustainable development</w:t>
      </w:r>
      <w:r w:rsidR="00D876A5">
        <w:rPr>
          <w:i/>
          <w:iCs/>
          <w:lang w:val="en-GB"/>
        </w:rPr>
        <w:t>,</w:t>
      </w:r>
      <w:r w:rsidR="00D876A5" w:rsidRPr="00D44766">
        <w:rPr>
          <w:i/>
          <w:iCs/>
          <w:lang w:val="en-GB"/>
        </w:rPr>
        <w:t xml:space="preserve"> including the health and the welfare of society</w:t>
      </w:r>
      <w:r w:rsidR="00D876A5">
        <w:rPr>
          <w:i/>
          <w:iCs/>
          <w:lang w:val="en-GB"/>
        </w:rPr>
        <w:t>;</w:t>
      </w:r>
      <w:r w:rsidR="00D876A5" w:rsidRPr="00D44766">
        <w:rPr>
          <w:i/>
          <w:iCs/>
          <w:lang w:val="en-GB"/>
        </w:rPr>
        <w:t xml:space="preserve"> takes into account the expectations of stakeholders, is in compliance with applicable laws and consistent with international norms of behavior</w:t>
      </w:r>
      <w:r w:rsidR="00D876A5">
        <w:rPr>
          <w:i/>
          <w:iCs/>
          <w:lang w:val="en-GB"/>
        </w:rPr>
        <w:t>;</w:t>
      </w:r>
      <w:r w:rsidR="00D876A5" w:rsidRPr="00D44766">
        <w:rPr>
          <w:i/>
          <w:iCs/>
          <w:lang w:val="en-GB"/>
        </w:rPr>
        <w:t xml:space="preserve"> and is integrated throughout the organization and practiced in its relationships</w:t>
      </w:r>
      <w:r w:rsidR="00D876A5">
        <w:rPr>
          <w:i/>
          <w:iCs/>
          <w:lang w:val="en-GB"/>
        </w:rPr>
        <w:t>’.</w:t>
      </w:r>
      <w:r w:rsidR="00D876A5" w:rsidRPr="00D44766">
        <w:rPr>
          <w:lang w:val="en-GB"/>
        </w:rPr>
        <w:t xml:space="preserve"> </w:t>
      </w:r>
      <w:r w:rsidRPr="00D44766">
        <w:rPr>
          <w:lang w:val="en-GB"/>
        </w:rPr>
        <w:t>(p.200). The basis for this definition was laid many years earlier</w:t>
      </w:r>
      <w:r w:rsidR="00426B23" w:rsidRPr="00D44766">
        <w:rPr>
          <w:lang w:val="en-GB"/>
        </w:rPr>
        <w:t>. I</w:t>
      </w:r>
      <w:r w:rsidR="005E1C40" w:rsidRPr="00D44766">
        <w:rPr>
          <w:lang w:val="en-GB"/>
        </w:rPr>
        <w:t>n 1979</w:t>
      </w:r>
      <w:r w:rsidR="00426B23" w:rsidRPr="00D44766">
        <w:rPr>
          <w:lang w:val="en-GB"/>
        </w:rPr>
        <w:t xml:space="preserve"> already,</w:t>
      </w:r>
      <w:r w:rsidR="005E1C40" w:rsidRPr="00D44766">
        <w:rPr>
          <w:lang w:val="en-GB"/>
        </w:rPr>
        <w:t xml:space="preserve"> Carroll</w:t>
      </w:r>
      <w:r w:rsidR="00426B23" w:rsidRPr="00D44766">
        <w:rPr>
          <w:lang w:val="en-GB"/>
        </w:rPr>
        <w:t xml:space="preserve"> played </w:t>
      </w:r>
      <w:r w:rsidR="00E239E1" w:rsidRPr="00D44766">
        <w:rPr>
          <w:lang w:val="en-GB"/>
        </w:rPr>
        <w:t>a leading role</w:t>
      </w:r>
      <w:r w:rsidR="00426B23" w:rsidRPr="00D44766">
        <w:rPr>
          <w:lang w:val="en-GB"/>
        </w:rPr>
        <w:t xml:space="preserve"> </w:t>
      </w:r>
      <w:r w:rsidR="00135350" w:rsidRPr="00D44766">
        <w:rPr>
          <w:lang w:val="en-GB"/>
        </w:rPr>
        <w:t>i</w:t>
      </w:r>
      <w:r w:rsidR="005E1C40" w:rsidRPr="00D44766">
        <w:rPr>
          <w:lang w:val="en-GB"/>
        </w:rPr>
        <w:t>n the development of the CSR concept (</w:t>
      </w:r>
      <w:r w:rsidR="005E1C40" w:rsidRPr="008878E8">
        <w:rPr>
          <w:color w:val="00B050"/>
          <w:lang w:val="en-GB"/>
        </w:rPr>
        <w:t>Kunz, May and Schmidt, 2020)</w:t>
      </w:r>
      <w:r w:rsidR="005E1C40" w:rsidRPr="00D44766">
        <w:rPr>
          <w:lang w:val="en-GB"/>
        </w:rPr>
        <w:t xml:space="preserve">. In his early work </w:t>
      </w:r>
      <w:r w:rsidR="005E1C40" w:rsidRPr="008878E8">
        <w:rPr>
          <w:color w:val="00B050"/>
          <w:lang w:val="en-GB"/>
        </w:rPr>
        <w:t>Carroll (1979</w:t>
      </w:r>
      <w:r w:rsidR="008878E8">
        <w:rPr>
          <w:color w:val="00B050"/>
          <w:lang w:val="en-GB"/>
        </w:rPr>
        <w:t>)</w:t>
      </w:r>
      <w:r w:rsidR="005E1C40" w:rsidRPr="008878E8">
        <w:rPr>
          <w:color w:val="00B050"/>
          <w:lang w:val="en-GB"/>
        </w:rPr>
        <w:t xml:space="preserve"> </w:t>
      </w:r>
      <w:r w:rsidR="00426B23" w:rsidRPr="00D44766">
        <w:rPr>
          <w:lang w:val="en-GB"/>
        </w:rPr>
        <w:t xml:space="preserve">stated that </w:t>
      </w:r>
      <w:r w:rsidR="005E1C40" w:rsidRPr="00D44766">
        <w:rPr>
          <w:lang w:val="en-GB"/>
        </w:rPr>
        <w:t xml:space="preserve">the ‘social responsibility of business encompasses the economic, legal, ethical, and discretionary expectations that society has of organisations at a given point in time.’ </w:t>
      </w:r>
      <w:r w:rsidR="008878E8">
        <w:rPr>
          <w:color w:val="00B050"/>
          <w:lang w:val="en-GB"/>
        </w:rPr>
        <w:t>(</w:t>
      </w:r>
      <w:r w:rsidR="008878E8" w:rsidRPr="008878E8">
        <w:rPr>
          <w:color w:val="00B050"/>
          <w:lang w:val="en-GB"/>
        </w:rPr>
        <w:t>p.500</w:t>
      </w:r>
      <w:r w:rsidR="008878E8" w:rsidRPr="00D44766">
        <w:rPr>
          <w:lang w:val="en-GB"/>
        </w:rPr>
        <w:t>)</w:t>
      </w:r>
      <w:r w:rsidR="008878E8">
        <w:rPr>
          <w:lang w:val="en-GB"/>
        </w:rPr>
        <w:t xml:space="preserve">. </w:t>
      </w:r>
      <w:r w:rsidR="005E1C40" w:rsidRPr="00D44766">
        <w:rPr>
          <w:lang w:val="en-GB"/>
        </w:rPr>
        <w:t xml:space="preserve">This definition was later translated into the Pyramid </w:t>
      </w:r>
      <w:r w:rsidR="001E18E4" w:rsidRPr="00D44766">
        <w:rPr>
          <w:lang w:val="en-GB"/>
        </w:rPr>
        <w:t>o</w:t>
      </w:r>
      <w:r w:rsidR="005E1C40" w:rsidRPr="00D44766">
        <w:rPr>
          <w:lang w:val="en-GB"/>
        </w:rPr>
        <w:t>f Corporate Social Responsibility (</w:t>
      </w:r>
      <w:r w:rsidR="005E1C40" w:rsidRPr="008878E8">
        <w:rPr>
          <w:color w:val="00B050"/>
          <w:lang w:val="en-GB"/>
        </w:rPr>
        <w:t>Carroll, 1991</w:t>
      </w:r>
      <w:r w:rsidR="005E1C40" w:rsidRPr="00D44766">
        <w:rPr>
          <w:lang w:val="en-GB"/>
        </w:rPr>
        <w:t xml:space="preserve">; </w:t>
      </w:r>
      <w:r w:rsidR="005E1C40" w:rsidRPr="008878E8">
        <w:rPr>
          <w:color w:val="00B050"/>
          <w:lang w:val="en-GB"/>
        </w:rPr>
        <w:t>Schwartz a</w:t>
      </w:r>
      <w:r w:rsidR="00843F19" w:rsidRPr="008878E8">
        <w:rPr>
          <w:color w:val="00B050"/>
          <w:lang w:val="en-GB"/>
        </w:rPr>
        <w:t>n</w:t>
      </w:r>
      <w:r w:rsidR="005E1C40" w:rsidRPr="008878E8">
        <w:rPr>
          <w:color w:val="00B050"/>
          <w:lang w:val="en-GB"/>
        </w:rPr>
        <w:t>d Carro</w:t>
      </w:r>
      <w:r w:rsidR="008878E8" w:rsidRPr="008878E8">
        <w:rPr>
          <w:color w:val="00B050"/>
          <w:lang w:val="en-GB"/>
        </w:rPr>
        <w:t>l</w:t>
      </w:r>
      <w:r w:rsidR="005E1C40" w:rsidRPr="008878E8">
        <w:rPr>
          <w:color w:val="00B050"/>
          <w:lang w:val="en-GB"/>
        </w:rPr>
        <w:t xml:space="preserve">l, </w:t>
      </w:r>
      <w:r w:rsidR="00843F19" w:rsidRPr="008878E8">
        <w:rPr>
          <w:color w:val="00B050"/>
          <w:lang w:val="en-GB"/>
        </w:rPr>
        <w:t>2007</w:t>
      </w:r>
      <w:r w:rsidR="005E1C40" w:rsidRPr="00D44766">
        <w:rPr>
          <w:lang w:val="en-GB"/>
        </w:rPr>
        <w:t>) as shown below.</w:t>
      </w:r>
    </w:p>
    <w:p w14:paraId="6A463ED2" w14:textId="77777777" w:rsidR="00DF2CF2" w:rsidRDefault="00DF2CF2" w:rsidP="00DF2CF2">
      <w:pPr>
        <w:keepNext/>
        <w:contextualSpacing/>
        <w:jc w:val="center"/>
      </w:pPr>
      <w:r>
        <w:rPr>
          <w:noProof/>
          <w:lang w:val="en-GB"/>
        </w:rPr>
        <w:drawing>
          <wp:inline distT="0" distB="0" distL="0" distR="0" wp14:anchorId="223252A6" wp14:editId="00F7BF80">
            <wp:extent cx="4236266" cy="3600000"/>
            <wp:effectExtent l="0" t="0" r="0" b="0"/>
            <wp:docPr id="1379499072" name="Grafik 1" descr="Ein Bild, das Text, Screenshot, Schrift, parall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499072" name="Grafik 1" descr="Ein Bild, das Text, Screenshot, Schrift, parallel enthält.&#10;&#10;Automatisch generierte Beschreibu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236266" cy="3600000"/>
                    </a:xfrm>
                    <a:prstGeom prst="rect">
                      <a:avLst/>
                    </a:prstGeom>
                  </pic:spPr>
                </pic:pic>
              </a:graphicData>
            </a:graphic>
          </wp:inline>
        </w:drawing>
      </w:r>
    </w:p>
    <w:p w14:paraId="4A30000F" w14:textId="6B949A45" w:rsidR="005E1C40" w:rsidRPr="00DF2CF2" w:rsidRDefault="00DF2CF2" w:rsidP="00DF2CF2">
      <w:pPr>
        <w:pStyle w:val="Beschriftung"/>
        <w:jc w:val="center"/>
        <w:rPr>
          <w:lang w:val="en-GB"/>
        </w:rPr>
      </w:pPr>
      <w:bookmarkStart w:id="37" w:name="_Toc143360812"/>
      <w:bookmarkStart w:id="38" w:name="_Toc143360944"/>
      <w:bookmarkStart w:id="39" w:name="_Toc143361081"/>
      <w:r w:rsidRPr="00DF2CF2">
        <w:rPr>
          <w:lang w:val="en-GB"/>
        </w:rPr>
        <w:t xml:space="preserve">Figure </w:t>
      </w:r>
      <w:r>
        <w:fldChar w:fldCharType="begin"/>
      </w:r>
      <w:r w:rsidRPr="00DF2CF2">
        <w:rPr>
          <w:lang w:val="en-GB"/>
        </w:rPr>
        <w:instrText xml:space="preserve"> SEQ Figure \* ARABIC </w:instrText>
      </w:r>
      <w:r>
        <w:fldChar w:fldCharType="separate"/>
      </w:r>
      <w:r w:rsidR="00E81CC9">
        <w:rPr>
          <w:noProof/>
          <w:lang w:val="en-GB"/>
        </w:rPr>
        <w:t>5</w:t>
      </w:r>
      <w:r>
        <w:fldChar w:fldCharType="end"/>
      </w:r>
      <w:r w:rsidRPr="00DF2CF2">
        <w:rPr>
          <w:lang w:val="en-GB"/>
        </w:rPr>
        <w:t>: Pyramid of Corporate Social Responsibility (Carroll, 1991)</w:t>
      </w:r>
      <w:bookmarkEnd w:id="37"/>
      <w:bookmarkEnd w:id="38"/>
      <w:bookmarkEnd w:id="39"/>
    </w:p>
    <w:p w14:paraId="50724359" w14:textId="2C8B908E" w:rsidR="008B768C" w:rsidRDefault="00361927" w:rsidP="001F2B8F">
      <w:pPr>
        <w:contextualSpacing/>
        <w:rPr>
          <w:lang w:val="en-GB"/>
        </w:rPr>
      </w:pPr>
      <w:r w:rsidRPr="00D44766">
        <w:rPr>
          <w:lang w:val="en-GB"/>
        </w:rPr>
        <w:t xml:space="preserve">The base of the pyramid </w:t>
      </w:r>
      <w:r w:rsidR="00E927D9" w:rsidRPr="00D44766">
        <w:rPr>
          <w:lang w:val="en-GB"/>
        </w:rPr>
        <w:t xml:space="preserve">is made up of the economic responsibilities – without economic success the business simply cannot exist. While operating, the business should adhere to national and/or international </w:t>
      </w:r>
      <w:r w:rsidR="00426B23" w:rsidRPr="00D44766">
        <w:rPr>
          <w:lang w:val="en-GB"/>
        </w:rPr>
        <w:t xml:space="preserve">applicable </w:t>
      </w:r>
      <w:r w:rsidR="00E927D9" w:rsidRPr="00D44766">
        <w:rPr>
          <w:lang w:val="en-GB"/>
        </w:rPr>
        <w:t xml:space="preserve">laws and </w:t>
      </w:r>
      <w:r w:rsidR="00426B23" w:rsidRPr="00D44766">
        <w:rPr>
          <w:lang w:val="en-GB"/>
        </w:rPr>
        <w:t>act within</w:t>
      </w:r>
      <w:r w:rsidR="00E927D9" w:rsidRPr="00D44766">
        <w:rPr>
          <w:lang w:val="en-GB"/>
        </w:rPr>
        <w:t xml:space="preserve"> </w:t>
      </w:r>
      <w:r w:rsidR="00E239E1" w:rsidRPr="00D44766">
        <w:rPr>
          <w:lang w:val="en-GB"/>
        </w:rPr>
        <w:t>this legal framework</w:t>
      </w:r>
      <w:r w:rsidR="00E927D9" w:rsidRPr="00D44766">
        <w:rPr>
          <w:lang w:val="en-GB"/>
        </w:rPr>
        <w:t xml:space="preserve">. Followed by </w:t>
      </w:r>
      <w:r w:rsidR="00E927D9" w:rsidRPr="00D44766">
        <w:rPr>
          <w:lang w:val="en-GB"/>
        </w:rPr>
        <w:lastRenderedPageBreak/>
        <w:t xml:space="preserve">that on the pyramid are the ethical responsibilities a business should </w:t>
      </w:r>
      <w:r w:rsidR="00426B23" w:rsidRPr="00D44766">
        <w:rPr>
          <w:lang w:val="en-GB"/>
        </w:rPr>
        <w:t>pur</w:t>
      </w:r>
      <w:r w:rsidR="00135350" w:rsidRPr="00D44766">
        <w:rPr>
          <w:lang w:val="en-GB"/>
        </w:rPr>
        <w:t>s</w:t>
      </w:r>
      <w:r w:rsidR="00426B23" w:rsidRPr="00D44766">
        <w:rPr>
          <w:lang w:val="en-GB"/>
        </w:rPr>
        <w:t>ue</w:t>
      </w:r>
      <w:r w:rsidR="00E927D9" w:rsidRPr="00D44766">
        <w:rPr>
          <w:lang w:val="en-GB"/>
        </w:rPr>
        <w:t xml:space="preserve"> – to do what is right, just and fair and avoid harm</w:t>
      </w:r>
      <w:r w:rsidR="00426B23" w:rsidRPr="00D44766">
        <w:rPr>
          <w:lang w:val="en-GB"/>
        </w:rPr>
        <w:t>.</w:t>
      </w:r>
      <w:r w:rsidR="00E927D9" w:rsidRPr="00D44766">
        <w:rPr>
          <w:lang w:val="en-GB"/>
        </w:rPr>
        <w:t xml:space="preserve"> Though what exactly is right, just and fair can be a very subjective evaluation</w:t>
      </w:r>
      <w:r w:rsidR="008B768C">
        <w:rPr>
          <w:lang w:val="en-GB"/>
        </w:rPr>
        <w:t xml:space="preserve"> and is yet to be defined</w:t>
      </w:r>
      <w:r w:rsidR="00E927D9" w:rsidRPr="00D44766">
        <w:rPr>
          <w:lang w:val="en-GB"/>
        </w:rPr>
        <w:t xml:space="preserve">. The top of the pyramid builds </w:t>
      </w:r>
      <w:r w:rsidR="00C45690" w:rsidRPr="00D44766">
        <w:rPr>
          <w:lang w:val="en-GB"/>
        </w:rPr>
        <w:t xml:space="preserve">the philanthropic responsibilities referring to </w:t>
      </w:r>
      <w:r w:rsidR="00426B23" w:rsidRPr="00D44766">
        <w:rPr>
          <w:lang w:val="en-GB"/>
        </w:rPr>
        <w:t xml:space="preserve">the </w:t>
      </w:r>
      <w:r w:rsidR="00C45690" w:rsidRPr="00D44766">
        <w:rPr>
          <w:lang w:val="en-GB"/>
        </w:rPr>
        <w:t>contribut</w:t>
      </w:r>
      <w:r w:rsidR="00426B23" w:rsidRPr="00D44766">
        <w:rPr>
          <w:lang w:val="en-GB"/>
        </w:rPr>
        <w:t>ion</w:t>
      </w:r>
      <w:r w:rsidR="00C45690" w:rsidRPr="00D44766">
        <w:rPr>
          <w:lang w:val="en-GB"/>
        </w:rPr>
        <w:t xml:space="preserve"> to community and trying to improve the quality of life. </w:t>
      </w:r>
      <w:r w:rsidR="005572B1" w:rsidRPr="00375112">
        <w:rPr>
          <w:color w:val="70AD47" w:themeColor="accent6"/>
          <w:lang w:val="en-GB"/>
        </w:rPr>
        <w:t>Pino</w:t>
      </w:r>
      <w:r w:rsidR="00375112" w:rsidRPr="00375112">
        <w:rPr>
          <w:color w:val="70AD47" w:themeColor="accent6"/>
          <w:lang w:val="en-GB"/>
        </w:rPr>
        <w:t>, Amatulli, De Angelis and Peluso</w:t>
      </w:r>
      <w:r w:rsidR="005572B1" w:rsidRPr="00375112">
        <w:rPr>
          <w:color w:val="70AD47" w:themeColor="accent6"/>
          <w:lang w:val="en-GB"/>
        </w:rPr>
        <w:t xml:space="preserve"> (2016</w:t>
      </w:r>
      <w:r w:rsidR="005572B1" w:rsidRPr="00375112">
        <w:rPr>
          <w:lang w:val="en-GB"/>
        </w:rPr>
        <w:t>)</w:t>
      </w:r>
      <w:r w:rsidR="005572B1" w:rsidRPr="00D44766">
        <w:rPr>
          <w:lang w:val="en-GB"/>
        </w:rPr>
        <w:t xml:space="preserve"> further added two categories which can be applied to each of Carroll’s segments – by differentiating between internal and external CSR activities</w:t>
      </w:r>
      <w:r w:rsidR="00135350" w:rsidRPr="00D44766">
        <w:rPr>
          <w:lang w:val="en-GB"/>
        </w:rPr>
        <w:t>. W</w:t>
      </w:r>
      <w:r w:rsidR="005572B1" w:rsidRPr="00D44766">
        <w:rPr>
          <w:lang w:val="en-GB"/>
        </w:rPr>
        <w:t xml:space="preserve">hereby the external </w:t>
      </w:r>
      <w:r w:rsidR="006B448E" w:rsidRPr="00D44766">
        <w:rPr>
          <w:lang w:val="en-GB"/>
        </w:rPr>
        <w:t>activities</w:t>
      </w:r>
      <w:r w:rsidR="00426B23" w:rsidRPr="00D44766">
        <w:rPr>
          <w:lang w:val="en-GB"/>
        </w:rPr>
        <w:t xml:space="preserve"> are the </w:t>
      </w:r>
      <w:r w:rsidR="005572B1" w:rsidRPr="00D44766">
        <w:rPr>
          <w:lang w:val="en-GB"/>
        </w:rPr>
        <w:t xml:space="preserve">ones </w:t>
      </w:r>
      <w:r w:rsidR="00426B23" w:rsidRPr="00D44766">
        <w:rPr>
          <w:lang w:val="en-GB"/>
        </w:rPr>
        <w:t xml:space="preserve">which </w:t>
      </w:r>
      <w:r w:rsidR="005572B1" w:rsidRPr="00D44766">
        <w:rPr>
          <w:lang w:val="en-GB"/>
        </w:rPr>
        <w:t xml:space="preserve">are visible to consumers and the internal ones </w:t>
      </w:r>
      <w:r w:rsidR="00426B23" w:rsidRPr="00D44766">
        <w:rPr>
          <w:lang w:val="en-GB"/>
        </w:rPr>
        <w:t xml:space="preserve">are obviously </w:t>
      </w:r>
      <w:r w:rsidR="005572B1" w:rsidRPr="00D44766">
        <w:rPr>
          <w:lang w:val="en-GB"/>
        </w:rPr>
        <w:t>not</w:t>
      </w:r>
      <w:r w:rsidR="00426B23" w:rsidRPr="00D44766">
        <w:rPr>
          <w:lang w:val="en-GB"/>
        </w:rPr>
        <w:t xml:space="preserve"> visible to consumers</w:t>
      </w:r>
      <w:r w:rsidR="005572B1" w:rsidRPr="00D44766">
        <w:rPr>
          <w:lang w:val="en-GB"/>
        </w:rPr>
        <w:t xml:space="preserve">. </w:t>
      </w:r>
      <w:r w:rsidR="00BF66FF" w:rsidRPr="00D44766">
        <w:rPr>
          <w:lang w:val="en-GB"/>
        </w:rPr>
        <w:t>Contrary to Carroll</w:t>
      </w:r>
      <w:r w:rsidR="00426B23" w:rsidRPr="00D44766">
        <w:rPr>
          <w:lang w:val="en-GB"/>
        </w:rPr>
        <w:t xml:space="preserve">, who did not specify this aspect in his pyramid </w:t>
      </w:r>
      <w:r w:rsidR="00135350" w:rsidRPr="00D44766">
        <w:rPr>
          <w:lang w:val="en-GB"/>
        </w:rPr>
        <w:t xml:space="preserve">explicitly, </w:t>
      </w:r>
      <w:r w:rsidR="00426B23" w:rsidRPr="00D44766">
        <w:rPr>
          <w:lang w:val="en-GB"/>
        </w:rPr>
        <w:t>other authors specifically</w:t>
      </w:r>
      <w:r w:rsidR="00BF66FF" w:rsidRPr="00D44766">
        <w:rPr>
          <w:lang w:val="en-GB"/>
        </w:rPr>
        <w:t xml:space="preserve"> describe </w:t>
      </w:r>
      <w:r w:rsidR="001E18E4" w:rsidRPr="00D44766">
        <w:rPr>
          <w:lang w:val="en-GB"/>
        </w:rPr>
        <w:t xml:space="preserve">any CSR activity or investment </w:t>
      </w:r>
      <w:r w:rsidR="00BF66FF" w:rsidRPr="00D44766">
        <w:rPr>
          <w:lang w:val="en-GB"/>
        </w:rPr>
        <w:t>as</w:t>
      </w:r>
      <w:r w:rsidR="001E18E4" w:rsidRPr="00D44766">
        <w:rPr>
          <w:lang w:val="en-GB"/>
        </w:rPr>
        <w:t xml:space="preserve"> not mandatory or even required by law – </w:t>
      </w:r>
      <w:r w:rsidR="00BF66FF" w:rsidRPr="00D44766">
        <w:rPr>
          <w:lang w:val="en-GB"/>
        </w:rPr>
        <w:t xml:space="preserve">but as </w:t>
      </w:r>
      <w:r w:rsidR="001E18E4" w:rsidRPr="00D44766">
        <w:rPr>
          <w:lang w:val="en-GB"/>
        </w:rPr>
        <w:t>a purely voluntary action (</w:t>
      </w:r>
      <w:r w:rsidR="001E18E4" w:rsidRPr="008878E8">
        <w:rPr>
          <w:color w:val="00B050"/>
          <w:lang w:val="en-GB"/>
        </w:rPr>
        <w:t>Melo and Galan, 2011</w:t>
      </w:r>
      <w:r w:rsidR="00B6738D" w:rsidRPr="00116A72">
        <w:rPr>
          <w:color w:val="00B050"/>
          <w:lang w:val="en-GB"/>
        </w:rPr>
        <w:t>; European Commission, 2001</w:t>
      </w:r>
      <w:r w:rsidR="001E18E4" w:rsidRPr="00D44766">
        <w:rPr>
          <w:lang w:val="en-GB"/>
        </w:rPr>
        <w:t xml:space="preserve">). </w:t>
      </w:r>
      <w:r w:rsidR="00C37B3E" w:rsidRPr="00D876A5">
        <w:rPr>
          <w:lang w:val="en-GB"/>
        </w:rPr>
        <w:t>So</w:t>
      </w:r>
      <w:r w:rsidR="00426B23" w:rsidRPr="00D876A5">
        <w:rPr>
          <w:lang w:val="en-GB"/>
        </w:rPr>
        <w:t>, following the various definition,</w:t>
      </w:r>
      <w:r w:rsidR="00C37B3E" w:rsidRPr="00D876A5">
        <w:rPr>
          <w:lang w:val="en-GB"/>
        </w:rPr>
        <w:t xml:space="preserve"> CSR includes certain mandatory as well as non-mandatory actions. The myriad of definitions that still exist show</w:t>
      </w:r>
      <w:r w:rsidR="00AB2C1C">
        <w:rPr>
          <w:lang w:val="en-GB"/>
        </w:rPr>
        <w:t>s</w:t>
      </w:r>
      <w:r w:rsidR="00C37B3E" w:rsidRPr="00D876A5">
        <w:rPr>
          <w:lang w:val="en-GB"/>
        </w:rPr>
        <w:t xml:space="preserve"> that the theoretical concept is not universally defined and hence, actions under the umbrella of CSR are manifold</w:t>
      </w:r>
      <w:r w:rsidR="00414C9D" w:rsidRPr="00D876A5">
        <w:rPr>
          <w:lang w:val="en-GB"/>
        </w:rPr>
        <w:t xml:space="preserve"> (</w:t>
      </w:r>
      <w:r w:rsidR="00414C9D" w:rsidRPr="00D876A5">
        <w:rPr>
          <w:color w:val="00B050"/>
          <w:lang w:val="en-GB"/>
        </w:rPr>
        <w:t>Crane</w:t>
      </w:r>
      <w:r w:rsidR="00116A72" w:rsidRPr="00D876A5">
        <w:rPr>
          <w:color w:val="00B050"/>
          <w:lang w:val="en-GB"/>
        </w:rPr>
        <w:t>, Palazzo, Spence and Matten</w:t>
      </w:r>
      <w:r w:rsidR="00414C9D" w:rsidRPr="00D876A5">
        <w:rPr>
          <w:color w:val="00B050"/>
          <w:lang w:val="en-GB"/>
        </w:rPr>
        <w:t>.,2014</w:t>
      </w:r>
      <w:r w:rsidR="00414C9D" w:rsidRPr="00D876A5">
        <w:rPr>
          <w:lang w:val="en-GB"/>
        </w:rPr>
        <w:t xml:space="preserve">; </w:t>
      </w:r>
      <w:r w:rsidR="00414C9D" w:rsidRPr="00D876A5">
        <w:rPr>
          <w:color w:val="00B050"/>
          <w:lang w:val="en-GB"/>
        </w:rPr>
        <w:t>Varga, 2015)</w:t>
      </w:r>
      <w:r w:rsidR="00C37B3E" w:rsidRPr="00D876A5">
        <w:rPr>
          <w:color w:val="00B050"/>
          <w:lang w:val="en-GB"/>
        </w:rPr>
        <w:t>.</w:t>
      </w:r>
      <w:r w:rsidR="00C37B3E" w:rsidRPr="00D876A5">
        <w:rPr>
          <w:lang w:val="en-GB"/>
        </w:rPr>
        <w:t xml:space="preserve"> </w:t>
      </w:r>
    </w:p>
    <w:p w14:paraId="4CC8ABBF" w14:textId="03F809EF" w:rsidR="008B768C" w:rsidRDefault="008B768C" w:rsidP="008B768C">
      <w:pPr>
        <w:contextualSpacing/>
        <w:rPr>
          <w:lang w:val="en-GB"/>
        </w:rPr>
      </w:pPr>
      <w:r>
        <w:rPr>
          <w:lang w:val="en-GB"/>
        </w:rPr>
        <w:t xml:space="preserve">But </w:t>
      </w:r>
      <w:r w:rsidR="00AA538D">
        <w:rPr>
          <w:lang w:val="en-GB"/>
        </w:rPr>
        <w:t>also,</w:t>
      </w:r>
      <w:r>
        <w:rPr>
          <w:lang w:val="en-GB"/>
        </w:rPr>
        <w:t xml:space="preserve"> </w:t>
      </w:r>
      <w:r w:rsidR="00AB2C1C">
        <w:rPr>
          <w:lang w:val="en-GB"/>
        </w:rPr>
        <w:t xml:space="preserve">the </w:t>
      </w:r>
      <w:r>
        <w:rPr>
          <w:lang w:val="en-GB"/>
        </w:rPr>
        <w:t xml:space="preserve">very term CSR has been debated amongst scholars and business representatives. </w:t>
      </w:r>
      <w:r w:rsidRPr="00D44766">
        <w:rPr>
          <w:lang w:val="en-GB"/>
        </w:rPr>
        <w:t xml:space="preserve">According to the </w:t>
      </w:r>
      <w:r w:rsidRPr="0050131A">
        <w:rPr>
          <w:color w:val="70AD47" w:themeColor="accent6"/>
          <w:lang w:val="en-GB"/>
        </w:rPr>
        <w:t>Institute of Sustainability (2023</w:t>
      </w:r>
      <w:r w:rsidRPr="00D44766">
        <w:rPr>
          <w:lang w:val="en-GB"/>
        </w:rPr>
        <w:t>), out of CSR two conceptual derivatives have developed since the early 2000: Corporate Responsibility (CR) and Social Responsibility (SR). For some business representatives</w:t>
      </w:r>
      <w:r w:rsidR="005402A7">
        <w:rPr>
          <w:lang w:val="en-GB"/>
        </w:rPr>
        <w:t xml:space="preserve"> and academics</w:t>
      </w:r>
      <w:r w:rsidRPr="00D44766">
        <w:rPr>
          <w:lang w:val="en-GB"/>
        </w:rPr>
        <w:t xml:space="preserve"> the “S” in CSR – representing the social dimension – was deceptive as CSR does entail more than just social responsibility. They rightly so argue that it also includes an ecological responsibility. Moreover – and rather important</w:t>
      </w:r>
      <w:r w:rsidR="005402A7">
        <w:rPr>
          <w:lang w:val="en-GB"/>
        </w:rPr>
        <w:t xml:space="preserve">, </w:t>
      </w:r>
      <w:r w:rsidRPr="00D44766">
        <w:rPr>
          <w:lang w:val="en-GB"/>
        </w:rPr>
        <w:t>CR should also include the responsibility companies have towards their shareholders.</w:t>
      </w:r>
      <w:r w:rsidR="005402A7">
        <w:rPr>
          <w:lang w:val="en-GB"/>
        </w:rPr>
        <w:t xml:space="preserve"> This can be related to the base of Carroll’s pyramid, without financial success a company will not survive long.</w:t>
      </w:r>
      <w:r w:rsidRPr="00D44766">
        <w:rPr>
          <w:lang w:val="en-GB"/>
        </w:rPr>
        <w:t xml:space="preserve"> First reports labelled as CR-Reports did include more information on corporate governance, risk management, compliance systems and anti-corruption initiatives which overall add more aspects to the CSR understanding. But definition wise, looking at the EU definition – CR</w:t>
      </w:r>
      <w:r w:rsidR="00942746">
        <w:rPr>
          <w:lang w:val="en-GB"/>
        </w:rPr>
        <w:t>, SR</w:t>
      </w:r>
      <w:r w:rsidRPr="00D44766">
        <w:rPr>
          <w:lang w:val="en-GB"/>
        </w:rPr>
        <w:t xml:space="preserve"> and CSR </w:t>
      </w:r>
      <w:r w:rsidR="00942746">
        <w:rPr>
          <w:lang w:val="en-GB"/>
        </w:rPr>
        <w:t>all</w:t>
      </w:r>
      <w:r w:rsidRPr="00D44766">
        <w:rPr>
          <w:lang w:val="en-GB"/>
        </w:rPr>
        <w:t xml:space="preserve"> carry the underlying principles of the ISO 26000</w:t>
      </w:r>
      <w:r w:rsidR="005402A7">
        <w:rPr>
          <w:lang w:val="en-GB"/>
        </w:rPr>
        <w:t xml:space="preserve"> as mentioned above</w:t>
      </w:r>
      <w:r w:rsidRPr="00D44766">
        <w:rPr>
          <w:lang w:val="en-GB"/>
        </w:rPr>
        <w:t xml:space="preserve"> (</w:t>
      </w:r>
      <w:r w:rsidRPr="0050131A">
        <w:rPr>
          <w:color w:val="70AD47" w:themeColor="accent6"/>
          <w:lang w:val="en-GB"/>
        </w:rPr>
        <w:t>Institute for Sustainability, 2023</w:t>
      </w:r>
      <w:r w:rsidRPr="00D44766">
        <w:rPr>
          <w:lang w:val="en-GB"/>
        </w:rPr>
        <w:t xml:space="preserve">). </w:t>
      </w:r>
    </w:p>
    <w:p w14:paraId="3419542C" w14:textId="534539CF" w:rsidR="00942746" w:rsidRPr="00D44766" w:rsidRDefault="00942746" w:rsidP="008B768C">
      <w:pPr>
        <w:contextualSpacing/>
        <w:rPr>
          <w:lang w:val="en-GB"/>
        </w:rPr>
      </w:pPr>
      <w:r>
        <w:rPr>
          <w:lang w:val="en-GB"/>
        </w:rPr>
        <w:t xml:space="preserve">The drivers behind implementing CSR activities have been categorized by </w:t>
      </w:r>
      <w:r w:rsidRPr="00375112">
        <w:rPr>
          <w:color w:val="70AD47" w:themeColor="accent6"/>
          <w:lang w:val="en-GB"/>
        </w:rPr>
        <w:t>van der Woerd and Van Den Brink (2004)</w:t>
      </w:r>
      <w:r>
        <w:rPr>
          <w:lang w:val="en-GB"/>
        </w:rPr>
        <w:t xml:space="preserve"> into </w:t>
      </w:r>
      <w:r w:rsidR="005402A7">
        <w:rPr>
          <w:lang w:val="en-GB"/>
        </w:rPr>
        <w:t>four</w:t>
      </w:r>
      <w:r>
        <w:rPr>
          <w:lang w:val="en-GB"/>
        </w:rPr>
        <w:t xml:space="preserve"> categories: 1. driven by compliance</w:t>
      </w:r>
      <w:r w:rsidR="00B228E0">
        <w:rPr>
          <w:lang w:val="en-GB"/>
        </w:rPr>
        <w:t xml:space="preserve"> reasons;</w:t>
      </w:r>
      <w:r>
        <w:rPr>
          <w:lang w:val="en-GB"/>
        </w:rPr>
        <w:t xml:space="preserve"> 2. </w:t>
      </w:r>
      <w:r w:rsidR="00B228E0">
        <w:rPr>
          <w:lang w:val="en-GB"/>
        </w:rPr>
        <w:t>driven by potential profit gains; 3. driven by the wish to contribute to the community and the company’s stakeholders and 4. driven by the aspiration to create synergies for the above three.</w:t>
      </w:r>
      <w:r w:rsidR="005402A7">
        <w:rPr>
          <w:lang w:val="en-GB"/>
        </w:rPr>
        <w:t xml:space="preserve"> Whereby especially within the last categories it is to be expected that conflicting objects of all three categories will arise and a prioritization needs to be done.</w:t>
      </w:r>
    </w:p>
    <w:p w14:paraId="25D8D599" w14:textId="7FECA4A6" w:rsidR="00980ECB" w:rsidRPr="001F2B8F" w:rsidRDefault="00414C9D" w:rsidP="001F2B8F">
      <w:pPr>
        <w:contextualSpacing/>
        <w:rPr>
          <w:lang w:val="en-GB"/>
        </w:rPr>
      </w:pPr>
      <w:r w:rsidRPr="00D876A5">
        <w:rPr>
          <w:lang w:val="en-GB"/>
        </w:rPr>
        <w:lastRenderedPageBreak/>
        <w:t>CSR act</w:t>
      </w:r>
      <w:r w:rsidR="00426B23" w:rsidRPr="00D876A5">
        <w:rPr>
          <w:lang w:val="en-GB"/>
        </w:rPr>
        <w:t>ivities</w:t>
      </w:r>
      <w:r w:rsidRPr="00D876A5">
        <w:rPr>
          <w:lang w:val="en-GB"/>
        </w:rPr>
        <w:t xml:space="preserve"> can range from more internal focused actions and policies </w:t>
      </w:r>
      <w:r w:rsidR="00E239E1" w:rsidRPr="00D876A5">
        <w:rPr>
          <w:lang w:val="en-GB"/>
        </w:rPr>
        <w:t>e.g.,</w:t>
      </w:r>
      <w:r w:rsidRPr="00D876A5">
        <w:rPr>
          <w:lang w:val="en-GB"/>
        </w:rPr>
        <w:t xml:space="preserve"> in human resource management practices or the use of renewable energies in the production process to more external focused activities like contributin</w:t>
      </w:r>
      <w:r w:rsidR="00135350" w:rsidRPr="00D876A5">
        <w:rPr>
          <w:lang w:val="en-GB"/>
        </w:rPr>
        <w:t>g</w:t>
      </w:r>
      <w:r w:rsidRPr="00D876A5">
        <w:rPr>
          <w:lang w:val="en-GB"/>
        </w:rPr>
        <w:t xml:space="preserve"> to local communities</w:t>
      </w:r>
      <w:r w:rsidR="007025F4" w:rsidRPr="00D876A5">
        <w:rPr>
          <w:lang w:val="en-GB"/>
        </w:rPr>
        <w:t xml:space="preserve"> or environmental causes</w:t>
      </w:r>
      <w:r w:rsidRPr="00D876A5">
        <w:rPr>
          <w:lang w:val="en-GB"/>
        </w:rPr>
        <w:t xml:space="preserve"> in form of </w:t>
      </w:r>
      <w:r w:rsidR="00A2358C" w:rsidRPr="00D876A5">
        <w:rPr>
          <w:lang w:val="en-GB"/>
        </w:rPr>
        <w:t>e.g.,</w:t>
      </w:r>
      <w:r w:rsidRPr="00D876A5">
        <w:rPr>
          <w:lang w:val="en-GB"/>
        </w:rPr>
        <w:t xml:space="preserve"> donations</w:t>
      </w:r>
      <w:r w:rsidR="007025F4" w:rsidRPr="00D876A5">
        <w:rPr>
          <w:lang w:val="en-GB"/>
        </w:rPr>
        <w:t xml:space="preserve"> </w:t>
      </w:r>
      <w:r w:rsidR="007025F4" w:rsidRPr="00D876A5">
        <w:rPr>
          <w:color w:val="00B050"/>
          <w:lang w:val="en-GB"/>
        </w:rPr>
        <w:t>(</w:t>
      </w:r>
      <w:r w:rsidR="007025F4" w:rsidRPr="00D876A5">
        <w:rPr>
          <w:rFonts w:cs="Times New Roman"/>
          <w:color w:val="00B050"/>
          <w:szCs w:val="24"/>
          <w:shd w:val="clear" w:color="auto" w:fill="FFFFFF"/>
          <w:lang w:val="en-GB"/>
        </w:rPr>
        <w:t>Meng</w:t>
      </w:r>
      <w:r w:rsidR="00CB7E21">
        <w:rPr>
          <w:rFonts w:cs="Times New Roman"/>
          <w:color w:val="00B050"/>
          <w:szCs w:val="24"/>
          <w:shd w:val="clear" w:color="auto" w:fill="FFFFFF"/>
          <w:lang w:val="en-GB"/>
        </w:rPr>
        <w:t xml:space="preserve"> et al.</w:t>
      </w:r>
      <w:r w:rsidR="00116A72" w:rsidRPr="00D876A5">
        <w:rPr>
          <w:rFonts w:cs="Times New Roman"/>
          <w:color w:val="00B050"/>
          <w:szCs w:val="24"/>
          <w:shd w:val="clear" w:color="auto" w:fill="FFFFFF"/>
          <w:lang w:val="en-GB"/>
        </w:rPr>
        <w:t>,</w:t>
      </w:r>
      <w:r w:rsidR="007025F4" w:rsidRPr="00D876A5">
        <w:rPr>
          <w:rFonts w:cs="Times New Roman"/>
          <w:color w:val="00B050"/>
          <w:szCs w:val="24"/>
          <w:shd w:val="clear" w:color="auto" w:fill="FFFFFF"/>
          <w:lang w:val="en-GB"/>
        </w:rPr>
        <w:t xml:space="preserve"> 2016</w:t>
      </w:r>
      <w:r w:rsidR="007025F4" w:rsidRPr="00D876A5">
        <w:rPr>
          <w:rFonts w:cs="Times New Roman"/>
          <w:szCs w:val="24"/>
          <w:shd w:val="clear" w:color="auto" w:fill="FFFFFF"/>
          <w:lang w:val="en-GB"/>
        </w:rPr>
        <w:t xml:space="preserve">; </w:t>
      </w:r>
      <w:r w:rsidR="007025F4" w:rsidRPr="00D876A5">
        <w:rPr>
          <w:rFonts w:cs="Times New Roman"/>
          <w:color w:val="00B050"/>
          <w:szCs w:val="24"/>
          <w:shd w:val="clear" w:color="auto" w:fill="FFFFFF"/>
          <w:lang w:val="en-GB"/>
        </w:rPr>
        <w:t>Zeng</w:t>
      </w:r>
      <w:r w:rsidR="00116A72" w:rsidRPr="00D876A5">
        <w:rPr>
          <w:rFonts w:cs="Times New Roman"/>
          <w:color w:val="00B050"/>
          <w:szCs w:val="24"/>
          <w:shd w:val="clear" w:color="auto" w:fill="FFFFFF"/>
          <w:lang w:val="en-GB"/>
        </w:rPr>
        <w:t>, Liu, Liu, Nan,</w:t>
      </w:r>
      <w:r w:rsidR="007025F4" w:rsidRPr="00D876A5">
        <w:rPr>
          <w:rFonts w:cs="Times New Roman"/>
          <w:color w:val="00B050"/>
          <w:szCs w:val="24"/>
          <w:shd w:val="clear" w:color="auto" w:fill="FFFFFF"/>
          <w:lang w:val="en-GB"/>
        </w:rPr>
        <w:t xml:space="preserve"> 2017a; Zeng</w:t>
      </w:r>
      <w:r w:rsidR="00116A72" w:rsidRPr="00D876A5">
        <w:rPr>
          <w:rFonts w:cs="Times New Roman"/>
          <w:color w:val="00B050"/>
          <w:szCs w:val="24"/>
          <w:shd w:val="clear" w:color="auto" w:fill="FFFFFF"/>
          <w:lang w:val="en-GB"/>
        </w:rPr>
        <w:t xml:space="preserve">, Nan, Liu and Chen, </w:t>
      </w:r>
      <w:r w:rsidR="007025F4" w:rsidRPr="00D876A5">
        <w:rPr>
          <w:rFonts w:cs="Times New Roman"/>
          <w:color w:val="00B050"/>
          <w:szCs w:val="24"/>
          <w:shd w:val="clear" w:color="auto" w:fill="FFFFFF"/>
          <w:lang w:val="en-GB"/>
        </w:rPr>
        <w:t>2017b</w:t>
      </w:r>
      <w:r w:rsidR="007025F4" w:rsidRPr="00D876A5">
        <w:rPr>
          <w:rFonts w:ascii="Abadi Extra Light" w:hAnsi="Abadi Extra Light"/>
          <w:sz w:val="23"/>
          <w:szCs w:val="23"/>
          <w:shd w:val="clear" w:color="auto" w:fill="FFFFFF"/>
          <w:lang w:val="en-GB"/>
        </w:rPr>
        <w:t xml:space="preserve">). </w:t>
      </w:r>
      <w:r w:rsidR="00980ECB" w:rsidRPr="00D44766">
        <w:rPr>
          <w:rFonts w:cs="Times New Roman"/>
          <w:lang w:val="en-GB"/>
        </w:rPr>
        <w:t xml:space="preserve">A categorization of CSR activities was made through an academic literature review by </w:t>
      </w:r>
      <w:r w:rsidR="00980ECB" w:rsidRPr="00B46668">
        <w:rPr>
          <w:rFonts w:cs="Times New Roman"/>
          <w:color w:val="00B050"/>
          <w:lang w:val="en-GB"/>
        </w:rPr>
        <w:t>Peloza and Shang (2011</w:t>
      </w:r>
      <w:r w:rsidR="00980ECB" w:rsidRPr="00D44766">
        <w:rPr>
          <w:rFonts w:cs="Times New Roman"/>
          <w:lang w:val="en-GB"/>
        </w:rPr>
        <w:t xml:space="preserve">). Reviewing 163 academic articles they identified three generic CSR categories: philanthropy, business practices, and product-related CSR. Philanthropic CSR activities are </w:t>
      </w:r>
      <w:r w:rsidR="00E239E1" w:rsidRPr="00D44766">
        <w:rPr>
          <w:rFonts w:cs="Times New Roman"/>
          <w:lang w:val="en-GB"/>
        </w:rPr>
        <w:t>e.g.,</w:t>
      </w:r>
      <w:r w:rsidR="00980ECB" w:rsidRPr="00D44766">
        <w:rPr>
          <w:rFonts w:cs="Times New Roman"/>
          <w:lang w:val="en-GB"/>
        </w:rPr>
        <w:t xml:space="preserve"> cash donations, charity events and the dominant form through the research on philanthropic CSR activities (</w:t>
      </w:r>
      <w:r w:rsidR="00980ECB" w:rsidRPr="00B46668">
        <w:rPr>
          <w:rFonts w:cs="Times New Roman"/>
          <w:color w:val="00B050"/>
          <w:lang w:val="en-GB"/>
        </w:rPr>
        <w:t>Peloza and Shang, 2011</w:t>
      </w:r>
      <w:r w:rsidR="00980ECB" w:rsidRPr="00D44766">
        <w:rPr>
          <w:rFonts w:cs="Times New Roman"/>
          <w:lang w:val="en-GB"/>
        </w:rPr>
        <w:t>): cause-related marketing (CRM) – which are donations tied to sales (</w:t>
      </w:r>
      <w:r w:rsidR="00980ECB" w:rsidRPr="00B46668">
        <w:rPr>
          <w:rFonts w:cs="Times New Roman"/>
          <w:color w:val="00B050"/>
          <w:lang w:val="en-GB"/>
        </w:rPr>
        <w:t>Varadarajan and Menon, 1988</w:t>
      </w:r>
      <w:r w:rsidR="00980ECB" w:rsidRPr="00D44766">
        <w:rPr>
          <w:rFonts w:cs="Times New Roman"/>
          <w:lang w:val="en-GB"/>
        </w:rPr>
        <w:t>). CSR activities related to the business practices entail actions making operations more environmentally friendly, enhancing production</w:t>
      </w:r>
      <w:r w:rsidR="00403DF5" w:rsidRPr="00D44766">
        <w:rPr>
          <w:rFonts w:cs="Times New Roman"/>
          <w:lang w:val="en-GB"/>
        </w:rPr>
        <w:t xml:space="preserve"> processes</w:t>
      </w:r>
      <w:r w:rsidR="00980ECB" w:rsidRPr="00D44766">
        <w:rPr>
          <w:rFonts w:cs="Times New Roman"/>
          <w:lang w:val="en-GB"/>
        </w:rPr>
        <w:t xml:space="preserve"> in this regard</w:t>
      </w:r>
      <w:r w:rsidR="00403DF5" w:rsidRPr="00D44766">
        <w:rPr>
          <w:rFonts w:cs="Times New Roman"/>
          <w:lang w:val="en-GB"/>
        </w:rPr>
        <w:t xml:space="preserve"> but also</w:t>
      </w:r>
      <w:r w:rsidR="00980ECB" w:rsidRPr="00D44766">
        <w:rPr>
          <w:rFonts w:cs="Times New Roman"/>
          <w:lang w:val="en-GB"/>
        </w:rPr>
        <w:t xml:space="preserve"> activities focused on the workforce as well as taking on responsibility </w:t>
      </w:r>
      <w:r w:rsidR="002F50AA">
        <w:rPr>
          <w:rFonts w:cs="Times New Roman"/>
          <w:lang w:val="en-GB"/>
        </w:rPr>
        <w:t>along</w:t>
      </w:r>
      <w:r w:rsidR="00980ECB" w:rsidRPr="00D44766">
        <w:rPr>
          <w:rFonts w:cs="Times New Roman"/>
          <w:lang w:val="en-GB"/>
        </w:rPr>
        <w:t xml:space="preserve"> the entire supply chain. The last category is product-related CSR</w:t>
      </w:r>
      <w:r w:rsidR="002A6883">
        <w:rPr>
          <w:rFonts w:cs="Times New Roman"/>
          <w:lang w:val="en-GB"/>
        </w:rPr>
        <w:t>,</w:t>
      </w:r>
      <w:r w:rsidR="00980ECB" w:rsidRPr="00D44766">
        <w:rPr>
          <w:rFonts w:cs="Times New Roman"/>
          <w:lang w:val="en-GB"/>
        </w:rPr>
        <w:t xml:space="preserve"> as the name reveals, these actions refer to the product itself </w:t>
      </w:r>
      <w:r w:rsidR="00AA538D" w:rsidRPr="00D44766">
        <w:rPr>
          <w:rFonts w:cs="Times New Roman"/>
          <w:lang w:val="en-GB"/>
        </w:rPr>
        <w:t>e.g.,</w:t>
      </w:r>
      <w:r w:rsidR="00980ECB" w:rsidRPr="00D44766">
        <w:rPr>
          <w:rFonts w:cs="Times New Roman"/>
          <w:lang w:val="en-GB"/>
        </w:rPr>
        <w:t xml:space="preserve"> using recycled materials but also product safety falls into this category. </w:t>
      </w:r>
      <w:r w:rsidR="00980ECB" w:rsidRPr="00B46668">
        <w:rPr>
          <w:rFonts w:cs="Times New Roman"/>
          <w:color w:val="00B050"/>
          <w:lang w:val="en-GB"/>
        </w:rPr>
        <w:t>Vock (2022</w:t>
      </w:r>
      <w:r w:rsidR="00980ECB" w:rsidRPr="00D44766">
        <w:rPr>
          <w:rFonts w:cs="Times New Roman"/>
          <w:lang w:val="en-GB"/>
        </w:rPr>
        <w:t>) further adds to this categorisation that philanthropy or for that matter other peripheral CSR activities are not incorporated into the business itself and thus, not changing the business per se in terms of routines or processes (</w:t>
      </w:r>
      <w:r w:rsidR="00980ECB" w:rsidRPr="00B46668">
        <w:rPr>
          <w:rFonts w:cs="Times New Roman"/>
          <w:color w:val="00B050"/>
          <w:lang w:val="en-GB"/>
        </w:rPr>
        <w:t>Aguinis and Glavas, 2013</w:t>
      </w:r>
      <w:r w:rsidR="00980ECB" w:rsidRPr="00D44766">
        <w:rPr>
          <w:rFonts w:cs="Times New Roman"/>
          <w:lang w:val="en-GB"/>
        </w:rPr>
        <w:t xml:space="preserve">), which makes them rather easy and quick to implement. On the contrary embedded CSR activities like business practices and also product related CSR by definition change structures and business practices and even strategies which is inevitable when restructuring businesses. </w:t>
      </w:r>
    </w:p>
    <w:p w14:paraId="4F2BDE55" w14:textId="33D1EF34" w:rsidR="0033373C" w:rsidRPr="00D44766" w:rsidRDefault="00C62934" w:rsidP="00C62934">
      <w:pPr>
        <w:contextualSpacing/>
        <w:rPr>
          <w:lang w:val="en-GB"/>
        </w:rPr>
      </w:pPr>
      <w:r w:rsidRPr="00D44766">
        <w:rPr>
          <w:lang w:val="en-GB"/>
        </w:rPr>
        <w:t>Despite all those different definition notions, CSR strategies and categories</w:t>
      </w:r>
      <w:r w:rsidR="00980ECB" w:rsidRPr="00D44766">
        <w:rPr>
          <w:lang w:val="en-GB"/>
        </w:rPr>
        <w:t xml:space="preserve"> ‘CSR is a multi-faceted concept as well as a socially-constructed and situated idea’ </w:t>
      </w:r>
      <w:r w:rsidR="002F50AA">
        <w:rPr>
          <w:lang w:val="en-GB"/>
        </w:rPr>
        <w:t>(</w:t>
      </w:r>
      <w:r w:rsidRPr="00B46668">
        <w:rPr>
          <w:rFonts w:cs="Times New Roman"/>
          <w:color w:val="00B050"/>
          <w:szCs w:val="24"/>
          <w:shd w:val="clear" w:color="auto" w:fill="FFFFFF"/>
          <w:lang w:val="en-GB"/>
        </w:rPr>
        <w:t>Coles, Fenclova and Dinan</w:t>
      </w:r>
      <w:r w:rsidR="002F50AA">
        <w:rPr>
          <w:color w:val="00B050"/>
          <w:lang w:val="en-GB"/>
        </w:rPr>
        <w:t xml:space="preserve">, </w:t>
      </w:r>
      <w:r w:rsidRPr="00B46668">
        <w:rPr>
          <w:color w:val="00B050"/>
          <w:lang w:val="en-GB"/>
        </w:rPr>
        <w:t>2013, p. 124</w:t>
      </w:r>
      <w:r w:rsidR="00B46668">
        <w:rPr>
          <w:lang w:val="en-GB"/>
        </w:rPr>
        <w:t>)</w:t>
      </w:r>
      <w:r w:rsidRPr="00D44766">
        <w:rPr>
          <w:lang w:val="en-GB"/>
        </w:rPr>
        <w:t>. E</w:t>
      </w:r>
      <w:r w:rsidR="00980ECB" w:rsidRPr="00D44766">
        <w:rPr>
          <w:lang w:val="en-GB"/>
        </w:rPr>
        <w:t>ver since the concept of CSR was developed one underlying feature never changed over all those years – the strong linkage between CSR and the current dominant set of values in this specific time and place (</w:t>
      </w:r>
      <w:r w:rsidR="00980ECB" w:rsidRPr="00B46668">
        <w:rPr>
          <w:color w:val="00B050"/>
          <w:lang w:val="en-GB"/>
        </w:rPr>
        <w:t>Arena, Azzone and Mapelli, 2018</w:t>
      </w:r>
      <w:r w:rsidR="00980ECB" w:rsidRPr="00D44766">
        <w:rPr>
          <w:lang w:val="en-GB"/>
        </w:rPr>
        <w:t xml:space="preserve">). Hence, CSR </w:t>
      </w:r>
      <w:r w:rsidRPr="00D44766">
        <w:rPr>
          <w:lang w:val="en-GB"/>
        </w:rPr>
        <w:t xml:space="preserve">cannot </w:t>
      </w:r>
      <w:r w:rsidR="00980ECB" w:rsidRPr="00D44766">
        <w:rPr>
          <w:lang w:val="en-GB"/>
        </w:rPr>
        <w:t xml:space="preserve">be regarded as a fixed construct but more as a dynamic framework that adapts to the respective prevailing characteristics in this given time and context and thus, bearing the ability to react to </w:t>
      </w:r>
      <w:r w:rsidR="00AA538D" w:rsidRPr="00D44766">
        <w:rPr>
          <w:lang w:val="en-GB"/>
        </w:rPr>
        <w:t>divers</w:t>
      </w:r>
      <w:r w:rsidR="00980ECB" w:rsidRPr="00D44766">
        <w:rPr>
          <w:lang w:val="en-GB"/>
        </w:rPr>
        <w:t xml:space="preserve"> requirements society is imposing onto and interpreting into the concept (</w:t>
      </w:r>
      <w:r w:rsidR="00980ECB" w:rsidRPr="00B46668">
        <w:rPr>
          <w:color w:val="00B050"/>
          <w:lang w:val="en-GB"/>
        </w:rPr>
        <w:t>Arena, Azzone and Mapelli, 2018</w:t>
      </w:r>
      <w:r w:rsidR="00980ECB" w:rsidRPr="00D44766">
        <w:rPr>
          <w:lang w:val="en-GB"/>
        </w:rPr>
        <w:t>). Major revolutions which have tremendously changed society over the last years and hence also its requirements for business have been globalization (</w:t>
      </w:r>
      <w:r w:rsidR="00980ECB" w:rsidRPr="00B46668">
        <w:rPr>
          <w:color w:val="00B050"/>
          <w:lang w:val="en-GB"/>
        </w:rPr>
        <w:t>Albrow and King, 1990</w:t>
      </w:r>
      <w:r w:rsidR="00980ECB" w:rsidRPr="00D44766">
        <w:rPr>
          <w:lang w:val="en-GB"/>
        </w:rPr>
        <w:t>), digitalization and the associated industry 4.0 (</w:t>
      </w:r>
      <w:r w:rsidR="00980ECB" w:rsidRPr="00B46668">
        <w:rPr>
          <w:color w:val="00B050"/>
          <w:lang w:val="en-GB"/>
        </w:rPr>
        <w:t>Brettel</w:t>
      </w:r>
      <w:r w:rsidR="00B46668" w:rsidRPr="00B46668">
        <w:rPr>
          <w:color w:val="00B050"/>
          <w:lang w:val="en-GB"/>
        </w:rPr>
        <w:t>, Friederichsen, Keller, Rosenberg</w:t>
      </w:r>
      <w:r w:rsidR="00980ECB" w:rsidRPr="00B46668">
        <w:rPr>
          <w:color w:val="00B050"/>
          <w:lang w:val="en-GB"/>
        </w:rPr>
        <w:t>, 2014)</w:t>
      </w:r>
      <w:r w:rsidR="00980ECB" w:rsidRPr="00D44766">
        <w:rPr>
          <w:lang w:val="en-GB"/>
        </w:rPr>
        <w:t xml:space="preserve"> which are also affecting the perception and the scope of CSR activities. </w:t>
      </w:r>
    </w:p>
    <w:p w14:paraId="7E901F3E" w14:textId="5861CB7D" w:rsidR="0033373C" w:rsidRPr="00D44766" w:rsidRDefault="00980ECB" w:rsidP="0033373C">
      <w:pPr>
        <w:contextualSpacing/>
        <w:rPr>
          <w:lang w:val="en-GB"/>
        </w:rPr>
      </w:pPr>
      <w:r w:rsidRPr="00D44766">
        <w:rPr>
          <w:lang w:val="en-GB"/>
        </w:rPr>
        <w:lastRenderedPageBreak/>
        <w:t>S</w:t>
      </w:r>
      <w:r w:rsidR="003D13C8" w:rsidRPr="00D44766">
        <w:rPr>
          <w:lang w:val="en-GB"/>
        </w:rPr>
        <w:t xml:space="preserve">ome scholars </w:t>
      </w:r>
      <w:r w:rsidRPr="00D44766">
        <w:rPr>
          <w:lang w:val="en-GB"/>
        </w:rPr>
        <w:t xml:space="preserve">suggest that </w:t>
      </w:r>
      <w:r w:rsidR="003D13C8" w:rsidRPr="00D44766">
        <w:rPr>
          <w:lang w:val="en-GB"/>
        </w:rPr>
        <w:t>there currently is a shift</w:t>
      </w:r>
      <w:r w:rsidR="00135350" w:rsidRPr="00D44766">
        <w:rPr>
          <w:lang w:val="en-GB"/>
        </w:rPr>
        <w:t xml:space="preserve"> in </w:t>
      </w:r>
      <w:r w:rsidR="00E239E1" w:rsidRPr="00D44766">
        <w:rPr>
          <w:lang w:val="en-GB"/>
        </w:rPr>
        <w:t>society,</w:t>
      </w:r>
      <w:r w:rsidR="003D13C8" w:rsidRPr="00D44766">
        <w:rPr>
          <w:lang w:val="en-GB"/>
        </w:rPr>
        <w:t xml:space="preserve"> and we are nowadays living in an “ethics area” (</w:t>
      </w:r>
      <w:r w:rsidR="003D13C8" w:rsidRPr="007F126E">
        <w:rPr>
          <w:rFonts w:cs="Times New Roman"/>
          <w:color w:val="00B050"/>
          <w:lang w:val="en-GB"/>
        </w:rPr>
        <w:t>Crane and Matten, 2007</w:t>
      </w:r>
      <w:r w:rsidR="003D13C8" w:rsidRPr="00D44766">
        <w:rPr>
          <w:rFonts w:cs="Times New Roman"/>
          <w:lang w:val="en-GB"/>
        </w:rPr>
        <w:t xml:space="preserve">; </w:t>
      </w:r>
      <w:r w:rsidR="003D13C8" w:rsidRPr="007F126E">
        <w:rPr>
          <w:rFonts w:cs="Times New Roman"/>
          <w:color w:val="00B050"/>
          <w:lang w:val="en-GB"/>
        </w:rPr>
        <w:t>McGoldrick and Freestone, 2008</w:t>
      </w:r>
      <w:r w:rsidR="003D13C8" w:rsidRPr="00D44766">
        <w:rPr>
          <w:rFonts w:cs="Times New Roman"/>
          <w:lang w:val="en-GB"/>
        </w:rPr>
        <w:t xml:space="preserve">; </w:t>
      </w:r>
      <w:r w:rsidR="003D13C8" w:rsidRPr="007F126E">
        <w:rPr>
          <w:rFonts w:cs="Times New Roman"/>
          <w:color w:val="00B050"/>
          <w:lang w:val="en-GB"/>
        </w:rPr>
        <w:t>Smith 1995</w:t>
      </w:r>
      <w:r w:rsidR="003D13C8" w:rsidRPr="00D44766">
        <w:rPr>
          <w:rFonts w:cs="Times New Roman"/>
          <w:lang w:val="en-GB"/>
        </w:rPr>
        <w:t xml:space="preserve">). Ethical awareness is rising amongst the general population and </w:t>
      </w:r>
      <w:r w:rsidR="00517FFC" w:rsidRPr="00D44766">
        <w:rPr>
          <w:rFonts w:cs="Times New Roman"/>
          <w:lang w:val="en-GB"/>
        </w:rPr>
        <w:t>is</w:t>
      </w:r>
      <w:r w:rsidR="003D13C8" w:rsidRPr="00D44766">
        <w:rPr>
          <w:rFonts w:cs="Times New Roman"/>
          <w:lang w:val="en-GB"/>
        </w:rPr>
        <w:t xml:space="preserve"> not limited to only a few groups </w:t>
      </w:r>
      <w:r w:rsidR="00135350" w:rsidRPr="00D44766">
        <w:rPr>
          <w:rFonts w:cs="Times New Roman"/>
          <w:lang w:val="en-GB"/>
        </w:rPr>
        <w:t xml:space="preserve">anymore. It is thus </w:t>
      </w:r>
      <w:r w:rsidR="003D13C8" w:rsidRPr="00D44766">
        <w:rPr>
          <w:rFonts w:cs="Times New Roman"/>
          <w:lang w:val="en-GB"/>
        </w:rPr>
        <w:t xml:space="preserve">hypothesised that purchasing behaviours will be changing </w:t>
      </w:r>
      <w:r w:rsidR="00135350" w:rsidRPr="00D44766">
        <w:rPr>
          <w:rFonts w:cs="Times New Roman"/>
          <w:lang w:val="en-GB"/>
        </w:rPr>
        <w:t>in reference to that</w:t>
      </w:r>
      <w:r w:rsidR="003D13C8" w:rsidRPr="00D44766">
        <w:rPr>
          <w:rFonts w:cs="Times New Roman"/>
          <w:lang w:val="en-GB"/>
        </w:rPr>
        <w:t xml:space="preserve"> as well (</w:t>
      </w:r>
      <w:r w:rsidR="003D13C8" w:rsidRPr="00235F54">
        <w:rPr>
          <w:rFonts w:cs="Times New Roman"/>
          <w:color w:val="00B050"/>
          <w:lang w:val="en-GB"/>
        </w:rPr>
        <w:t>Harrison</w:t>
      </w:r>
      <w:r w:rsidR="00235F54" w:rsidRPr="00235F54">
        <w:rPr>
          <w:rFonts w:cs="Times New Roman"/>
          <w:color w:val="00B050"/>
          <w:lang w:val="en-GB"/>
        </w:rPr>
        <w:t>, Newholm and Shaw</w:t>
      </w:r>
      <w:r w:rsidR="003D13C8" w:rsidRPr="00235F54">
        <w:rPr>
          <w:rFonts w:cs="Times New Roman"/>
          <w:color w:val="00B050"/>
          <w:lang w:val="en-GB"/>
        </w:rPr>
        <w:t>, 2005</w:t>
      </w:r>
      <w:r w:rsidR="003D13C8" w:rsidRPr="00D44766">
        <w:rPr>
          <w:rFonts w:cs="Times New Roman"/>
          <w:lang w:val="en-GB"/>
        </w:rPr>
        <w:t xml:space="preserve">; </w:t>
      </w:r>
      <w:r w:rsidR="003D13C8" w:rsidRPr="00235F54">
        <w:rPr>
          <w:rFonts w:cs="Times New Roman"/>
          <w:color w:val="00B050"/>
          <w:lang w:val="en-GB"/>
        </w:rPr>
        <w:t>Hendarwan, 2002</w:t>
      </w:r>
      <w:r w:rsidR="003D13C8" w:rsidRPr="00D44766">
        <w:rPr>
          <w:rFonts w:cs="Times New Roman"/>
          <w:lang w:val="en-GB"/>
        </w:rPr>
        <w:t xml:space="preserve">; </w:t>
      </w:r>
      <w:r w:rsidR="003D13C8" w:rsidRPr="00235F54">
        <w:rPr>
          <w:rFonts w:cs="Times New Roman"/>
          <w:color w:val="00B050"/>
          <w:lang w:val="en-GB"/>
        </w:rPr>
        <w:t>Iglesias and Ind, 2020; McGoldrick and Freestone, 2008</w:t>
      </w:r>
      <w:r w:rsidR="003D13C8" w:rsidRPr="00D44766">
        <w:rPr>
          <w:rFonts w:cs="Times New Roman"/>
          <w:lang w:val="en-GB"/>
        </w:rPr>
        <w:t xml:space="preserve">, </w:t>
      </w:r>
      <w:r w:rsidR="003D13C8" w:rsidRPr="00235F54">
        <w:rPr>
          <w:rFonts w:cs="Times New Roman"/>
          <w:color w:val="00B050"/>
          <w:lang w:val="en-GB"/>
        </w:rPr>
        <w:t>Thorne</w:t>
      </w:r>
      <w:r w:rsidR="00235F54" w:rsidRPr="00235F54">
        <w:rPr>
          <w:rFonts w:cs="Times New Roman"/>
          <w:color w:val="00B050"/>
          <w:lang w:val="en-GB"/>
        </w:rPr>
        <w:t>, Mahoney, Gregory and Convery,</w:t>
      </w:r>
      <w:r w:rsidR="003D13C8" w:rsidRPr="00235F54">
        <w:rPr>
          <w:rFonts w:cs="Times New Roman"/>
          <w:color w:val="00B050"/>
          <w:lang w:val="en-GB"/>
        </w:rPr>
        <w:t xml:space="preserve"> 201</w:t>
      </w:r>
      <w:r w:rsidR="00B1677A" w:rsidRPr="00235F54">
        <w:rPr>
          <w:rFonts w:cs="Times New Roman"/>
          <w:color w:val="00B050"/>
          <w:lang w:val="en-GB"/>
        </w:rPr>
        <w:t>5</w:t>
      </w:r>
      <w:r w:rsidR="003D13C8" w:rsidRPr="00235F54">
        <w:rPr>
          <w:rFonts w:cs="Times New Roman"/>
          <w:color w:val="00B050"/>
          <w:lang w:val="en-GB"/>
        </w:rPr>
        <w:t>)</w:t>
      </w:r>
      <w:r w:rsidR="003D13C8" w:rsidRPr="00D44766">
        <w:rPr>
          <w:rFonts w:ascii="Abadi Extra Light" w:hAnsi="Abadi Extra Light"/>
          <w:lang w:val="en-GB"/>
        </w:rPr>
        <w:t xml:space="preserve"> </w:t>
      </w:r>
      <w:r w:rsidR="003D13C8" w:rsidRPr="00D44766">
        <w:rPr>
          <w:rFonts w:cs="Times New Roman"/>
          <w:lang w:val="en-GB"/>
        </w:rPr>
        <w:t>in the sense, that environmental and social impacts of the entire supply chain are taken into account upon evaluatin</w:t>
      </w:r>
      <w:r w:rsidR="00517FFC" w:rsidRPr="00D44766">
        <w:rPr>
          <w:rFonts w:cs="Times New Roman"/>
          <w:lang w:val="en-GB"/>
        </w:rPr>
        <w:t>g</w:t>
      </w:r>
      <w:r w:rsidR="003D13C8" w:rsidRPr="00D44766">
        <w:rPr>
          <w:rFonts w:cs="Times New Roman"/>
          <w:lang w:val="en-GB"/>
        </w:rPr>
        <w:t xml:space="preserve"> and concluding on a purchase decision. (</w:t>
      </w:r>
      <w:r w:rsidR="003D13C8" w:rsidRPr="00235F54">
        <w:rPr>
          <w:rFonts w:cs="Times New Roman"/>
          <w:color w:val="00B050"/>
          <w:lang w:val="en-GB"/>
        </w:rPr>
        <w:t>Crane, 2001</w:t>
      </w:r>
      <w:r w:rsidR="003D13C8" w:rsidRPr="00D44766">
        <w:rPr>
          <w:rFonts w:cs="Times New Roman"/>
          <w:lang w:val="en-GB"/>
        </w:rPr>
        <w:t xml:space="preserve">; </w:t>
      </w:r>
      <w:r w:rsidR="003D13C8" w:rsidRPr="00235F54">
        <w:rPr>
          <w:rFonts w:cs="Times New Roman"/>
          <w:color w:val="00B050"/>
          <w:lang w:val="en-GB"/>
        </w:rPr>
        <w:t>Varey, 2002).</w:t>
      </w:r>
      <w:r w:rsidR="003D13C8" w:rsidRPr="00D44766">
        <w:rPr>
          <w:rFonts w:cs="Times New Roman"/>
          <w:lang w:val="en-GB"/>
        </w:rPr>
        <w:t xml:space="preserve"> </w:t>
      </w:r>
      <w:r w:rsidR="00E239E1" w:rsidRPr="00D44766">
        <w:rPr>
          <w:rFonts w:cs="Times New Roman"/>
          <w:lang w:val="en-GB"/>
        </w:rPr>
        <w:t>However,</w:t>
      </w:r>
      <w:r w:rsidR="00135350" w:rsidRPr="00D44766">
        <w:rPr>
          <w:rFonts w:cs="Times New Roman"/>
          <w:lang w:val="en-GB"/>
        </w:rPr>
        <w:t xml:space="preserve"> trying to proof theory in action</w:t>
      </w:r>
      <w:r w:rsidR="00CC417B" w:rsidRPr="00D44766">
        <w:rPr>
          <w:rFonts w:cs="Times New Roman"/>
          <w:lang w:val="en-GB"/>
        </w:rPr>
        <w:t xml:space="preserve">, </w:t>
      </w:r>
      <w:r w:rsidR="006F641C" w:rsidRPr="00D44766">
        <w:rPr>
          <w:rFonts w:cs="Times New Roman"/>
          <w:lang w:val="en-GB"/>
        </w:rPr>
        <w:t>studies (</w:t>
      </w:r>
      <w:r w:rsidR="00A2358C" w:rsidRPr="00D44766">
        <w:rPr>
          <w:rFonts w:cs="Times New Roman"/>
          <w:lang w:val="en-GB"/>
        </w:rPr>
        <w:t>e.g</w:t>
      </w:r>
      <w:r w:rsidR="00A2358C" w:rsidRPr="00235F54">
        <w:rPr>
          <w:rFonts w:cs="Times New Roman"/>
          <w:color w:val="00B050"/>
          <w:lang w:val="en-GB"/>
        </w:rPr>
        <w:t>.,</w:t>
      </w:r>
      <w:r w:rsidR="002A6590" w:rsidRPr="00235F54">
        <w:rPr>
          <w:rFonts w:cs="Times New Roman"/>
          <w:color w:val="00B050"/>
          <w:lang w:val="en-GB"/>
        </w:rPr>
        <w:t xml:space="preserve"> Randle, Kemperman and Dolnicar, 2019</w:t>
      </w:r>
      <w:r w:rsidR="006F641C" w:rsidRPr="00D44766">
        <w:rPr>
          <w:rFonts w:cs="Times New Roman"/>
          <w:lang w:val="en-GB"/>
        </w:rPr>
        <w:t xml:space="preserve">) have revealed that the actual purchasing decision is less concerned about ethical concerns than theory </w:t>
      </w:r>
      <w:r w:rsidR="00E14B0A" w:rsidRPr="00D44766">
        <w:rPr>
          <w:rFonts w:cs="Times New Roman"/>
          <w:lang w:val="en-GB"/>
        </w:rPr>
        <w:t>suggests</w:t>
      </w:r>
      <w:r w:rsidR="00135350" w:rsidRPr="00D44766">
        <w:rPr>
          <w:rFonts w:cs="Times New Roman"/>
          <w:lang w:val="en-GB"/>
        </w:rPr>
        <w:t xml:space="preserve"> and consumers claim in those studies</w:t>
      </w:r>
      <w:r w:rsidR="006F641C" w:rsidRPr="00D44766">
        <w:rPr>
          <w:rFonts w:cs="Times New Roman"/>
          <w:lang w:val="en-GB"/>
        </w:rPr>
        <w:t xml:space="preserve">. </w:t>
      </w:r>
      <w:r w:rsidR="0033373C" w:rsidRPr="00D44766">
        <w:rPr>
          <w:rFonts w:cs="Times New Roman"/>
          <w:lang w:val="en-GB"/>
        </w:rPr>
        <w:t xml:space="preserve">But </w:t>
      </w:r>
      <w:r w:rsidR="00E239E1" w:rsidRPr="00D44766">
        <w:rPr>
          <w:rFonts w:cs="Times New Roman"/>
          <w:lang w:val="en-GB"/>
        </w:rPr>
        <w:t>it is</w:t>
      </w:r>
      <w:r w:rsidR="0033373C" w:rsidRPr="00D44766">
        <w:rPr>
          <w:rFonts w:cs="Times New Roman"/>
          <w:lang w:val="en-GB"/>
        </w:rPr>
        <w:t xml:space="preserve"> not only the consumers’ side influencing business. Multiple macroeconomic factors like globalisation and the </w:t>
      </w:r>
      <w:r w:rsidR="00E239E1" w:rsidRPr="00D44766">
        <w:rPr>
          <w:rFonts w:cs="Times New Roman"/>
          <w:lang w:val="en-GB"/>
        </w:rPr>
        <w:t>ever-increasing</w:t>
      </w:r>
      <w:r w:rsidR="0033373C" w:rsidRPr="00D44766">
        <w:rPr>
          <w:rFonts w:cs="Times New Roman"/>
          <w:lang w:val="en-GB"/>
        </w:rPr>
        <w:t xml:space="preserve"> global trade which leads to more complex supply chains and various stakeholder groups being involve</w:t>
      </w:r>
      <w:r w:rsidR="002F50AA">
        <w:rPr>
          <w:rFonts w:cs="Times New Roman"/>
          <w:lang w:val="en-GB"/>
        </w:rPr>
        <w:t>d to influence business decisions in regards to CSR.</w:t>
      </w:r>
      <w:r w:rsidR="0033373C" w:rsidRPr="00D44766">
        <w:rPr>
          <w:rFonts w:cs="Times New Roman"/>
          <w:lang w:val="en-GB"/>
        </w:rPr>
        <w:t xml:space="preserve"> Those international stakeholders can have </w:t>
      </w:r>
      <w:r w:rsidR="00E239E1" w:rsidRPr="00D44766">
        <w:rPr>
          <w:rFonts w:cs="Times New Roman"/>
          <w:lang w:val="en-GB"/>
        </w:rPr>
        <w:t>vastly different</w:t>
      </w:r>
      <w:r w:rsidR="0033373C" w:rsidRPr="00D44766">
        <w:rPr>
          <w:rFonts w:cs="Times New Roman"/>
          <w:lang w:val="en-GB"/>
        </w:rPr>
        <w:t xml:space="preserve"> sets of value</w:t>
      </w:r>
      <w:r w:rsidR="00C62934" w:rsidRPr="00D44766">
        <w:rPr>
          <w:rFonts w:cs="Times New Roman"/>
          <w:lang w:val="en-GB"/>
        </w:rPr>
        <w:t>s</w:t>
      </w:r>
      <w:r w:rsidR="0033373C" w:rsidRPr="00D44766">
        <w:rPr>
          <w:rFonts w:cs="Times New Roman"/>
          <w:lang w:val="en-GB"/>
        </w:rPr>
        <w:t xml:space="preserve"> and thus, can put external and sometime opposing pressure on companies </w:t>
      </w:r>
      <w:r w:rsidR="0033373C" w:rsidRPr="00235F54">
        <w:rPr>
          <w:rFonts w:cs="Times New Roman"/>
          <w:color w:val="00B050"/>
          <w:lang w:val="en-GB"/>
        </w:rPr>
        <w:t>(Kudłak</w:t>
      </w:r>
      <w:r w:rsidR="00235F54" w:rsidRPr="00235F54">
        <w:rPr>
          <w:rFonts w:cs="Times New Roman"/>
          <w:color w:val="00B050"/>
          <w:lang w:val="en-GB"/>
        </w:rPr>
        <w:t>,</w:t>
      </w:r>
      <w:r w:rsidR="0033373C" w:rsidRPr="00235F54">
        <w:rPr>
          <w:rFonts w:cs="Times New Roman"/>
          <w:color w:val="00B050"/>
          <w:lang w:val="en-GB"/>
        </w:rPr>
        <w:t xml:space="preserve"> </w:t>
      </w:r>
      <w:r w:rsidR="00235F54" w:rsidRPr="00235F54">
        <w:rPr>
          <w:color w:val="00B050"/>
          <w:lang w:val="en-GB"/>
        </w:rPr>
        <w:t>Szőcs, Krumay and Martinuzzi</w:t>
      </w:r>
      <w:r w:rsidR="0033373C" w:rsidRPr="00235F54">
        <w:rPr>
          <w:rFonts w:cs="Times New Roman"/>
          <w:color w:val="00B050"/>
          <w:lang w:val="en-GB"/>
        </w:rPr>
        <w:t>., 2018</w:t>
      </w:r>
      <w:r w:rsidR="0033373C" w:rsidRPr="00D44766">
        <w:rPr>
          <w:rFonts w:cs="Times New Roman"/>
          <w:lang w:val="en-GB"/>
        </w:rPr>
        <w:t xml:space="preserve">) which companies’ management have to evaluated and incorporated into CSR decisions. Whereby this needs to be an ongoing evaluation process as previous research has shown that there is a dynamic and changing demand towards CSR activities and the relative importance between the three dimensions of economic, environmental and social is changing with a current tendency that environmental and social factors are playing a more dominant role than it was the case in the past </w:t>
      </w:r>
      <w:r w:rsidR="0033373C" w:rsidRPr="00235F54">
        <w:rPr>
          <w:rFonts w:cs="Times New Roman"/>
          <w:color w:val="00B050"/>
          <w:lang w:val="en-GB"/>
        </w:rPr>
        <w:t>(Arena, Azzone and Mapelli, 2018</w:t>
      </w:r>
      <w:r w:rsidR="00235F54">
        <w:rPr>
          <w:rFonts w:cs="Times New Roman"/>
          <w:lang w:val="en-GB"/>
        </w:rPr>
        <w:t>).</w:t>
      </w:r>
    </w:p>
    <w:p w14:paraId="41200577" w14:textId="77BA9796" w:rsidR="001E18E4" w:rsidRPr="00D44766" w:rsidRDefault="002F50AA" w:rsidP="00980ECB">
      <w:pPr>
        <w:contextualSpacing/>
        <w:rPr>
          <w:lang w:val="en-GB"/>
        </w:rPr>
      </w:pPr>
      <w:r>
        <w:rPr>
          <w:rFonts w:cs="Times New Roman"/>
          <w:lang w:val="en-GB"/>
        </w:rPr>
        <w:t>Despite the fact, thar these concerns are not (yet) translated into purchasing behaviour</w:t>
      </w:r>
      <w:r w:rsidR="002A6590" w:rsidRPr="00D44766">
        <w:rPr>
          <w:rFonts w:cs="Times New Roman"/>
          <w:lang w:val="en-GB"/>
        </w:rPr>
        <w:t xml:space="preserve">, as </w:t>
      </w:r>
      <w:r w:rsidR="002A6590" w:rsidRPr="00235F54">
        <w:rPr>
          <w:rFonts w:cs="Times New Roman"/>
          <w:color w:val="00B050"/>
          <w:lang w:val="en-GB"/>
        </w:rPr>
        <w:t>Bhattacharya and Sen (2004)</w:t>
      </w:r>
      <w:r w:rsidR="002A6590" w:rsidRPr="00D44766">
        <w:rPr>
          <w:rFonts w:cs="Times New Roman"/>
          <w:lang w:val="en-GB"/>
        </w:rPr>
        <w:t xml:space="preserve"> report, over 80% of the Fortune 500 companies make references to CSR issues on their respective </w:t>
      </w:r>
      <w:r w:rsidR="00AA538D" w:rsidRPr="00D44766">
        <w:rPr>
          <w:rFonts w:cs="Times New Roman"/>
          <w:lang w:val="en-GB"/>
        </w:rPr>
        <w:t>homepage,</w:t>
      </w:r>
      <w:r w:rsidR="00517FFC" w:rsidRPr="00D44766">
        <w:rPr>
          <w:rFonts w:cs="Times New Roman"/>
          <w:lang w:val="en-GB"/>
        </w:rPr>
        <w:t xml:space="preserve"> </w:t>
      </w:r>
      <w:r w:rsidR="00AA538D" w:rsidRPr="00D44766">
        <w:rPr>
          <w:rFonts w:cs="Times New Roman"/>
          <w:lang w:val="en-GB"/>
        </w:rPr>
        <w:t>which</w:t>
      </w:r>
      <w:r w:rsidR="002A6590" w:rsidRPr="00D44766">
        <w:rPr>
          <w:rFonts w:cs="Times New Roman"/>
          <w:lang w:val="en-GB"/>
        </w:rPr>
        <w:t xml:space="preserve"> allows to deduce that business leaders do believe</w:t>
      </w:r>
      <w:r w:rsidR="00517FFC" w:rsidRPr="00D44766">
        <w:rPr>
          <w:rFonts w:cs="Times New Roman"/>
          <w:lang w:val="en-GB"/>
        </w:rPr>
        <w:t xml:space="preserve"> and give some importance </w:t>
      </w:r>
      <w:r w:rsidR="002A6590" w:rsidRPr="00D44766">
        <w:rPr>
          <w:rFonts w:cs="Times New Roman"/>
          <w:lang w:val="en-GB"/>
        </w:rPr>
        <w:t>to showcas</w:t>
      </w:r>
      <w:r w:rsidR="00517FFC" w:rsidRPr="00D44766">
        <w:rPr>
          <w:rFonts w:cs="Times New Roman"/>
          <w:lang w:val="en-GB"/>
        </w:rPr>
        <w:t>ing</w:t>
      </w:r>
      <w:r w:rsidR="002A6590" w:rsidRPr="00D44766">
        <w:rPr>
          <w:rFonts w:cs="Times New Roman"/>
          <w:lang w:val="en-GB"/>
        </w:rPr>
        <w:t xml:space="preserve"> CSR initiatives</w:t>
      </w:r>
      <w:r w:rsidR="00517FFC" w:rsidRPr="00D44766">
        <w:rPr>
          <w:rFonts w:cs="Times New Roman"/>
          <w:lang w:val="en-GB"/>
        </w:rPr>
        <w:t xml:space="preserve"> on their webpages</w:t>
      </w:r>
      <w:r w:rsidR="002A6590" w:rsidRPr="00D44766">
        <w:rPr>
          <w:rFonts w:cs="Times New Roman"/>
          <w:lang w:val="en-GB"/>
        </w:rPr>
        <w:t xml:space="preserve"> – whether</w:t>
      </w:r>
      <w:r w:rsidR="00517FFC" w:rsidRPr="00D44766">
        <w:rPr>
          <w:rFonts w:cs="Times New Roman"/>
          <w:lang w:val="en-GB"/>
        </w:rPr>
        <w:t xml:space="preserve"> the underlying and driving force</w:t>
      </w:r>
      <w:r w:rsidR="002A6590" w:rsidRPr="00D44766">
        <w:rPr>
          <w:rFonts w:cs="Times New Roman"/>
          <w:lang w:val="en-GB"/>
        </w:rPr>
        <w:t xml:space="preserve"> is </w:t>
      </w:r>
      <w:r w:rsidR="00517FFC" w:rsidRPr="00D44766">
        <w:rPr>
          <w:rFonts w:cs="Times New Roman"/>
          <w:lang w:val="en-GB"/>
        </w:rPr>
        <w:t xml:space="preserve">rooted in </w:t>
      </w:r>
      <w:r w:rsidR="002A6590" w:rsidRPr="00D44766">
        <w:rPr>
          <w:rFonts w:cs="Times New Roman"/>
          <w:lang w:val="en-GB"/>
        </w:rPr>
        <w:t xml:space="preserve">ideological or economic reasons is another discussion. It seems like </w:t>
      </w:r>
      <w:r w:rsidR="00E239E1" w:rsidRPr="00D44766">
        <w:rPr>
          <w:rFonts w:cs="Times New Roman"/>
          <w:lang w:val="en-GB"/>
        </w:rPr>
        <w:t>it is</w:t>
      </w:r>
      <w:r w:rsidR="002A6590" w:rsidRPr="00D44766">
        <w:rPr>
          <w:rFonts w:cs="Times New Roman"/>
          <w:lang w:val="en-GB"/>
        </w:rPr>
        <w:t xml:space="preserve"> not a question of whether or not business should become involved in CSR actions</w:t>
      </w:r>
      <w:r w:rsidR="001A458E" w:rsidRPr="00D44766">
        <w:rPr>
          <w:rFonts w:cs="Times New Roman"/>
          <w:lang w:val="en-GB"/>
        </w:rPr>
        <w:t>,</w:t>
      </w:r>
      <w:r w:rsidR="002A6590" w:rsidRPr="00D44766">
        <w:rPr>
          <w:rFonts w:cs="Times New Roman"/>
          <w:lang w:val="en-GB"/>
        </w:rPr>
        <w:t xml:space="preserve"> but</w:t>
      </w:r>
      <w:r w:rsidR="00BC2788" w:rsidRPr="00D44766">
        <w:rPr>
          <w:rFonts w:cs="Times New Roman"/>
          <w:lang w:val="en-GB"/>
        </w:rPr>
        <w:t xml:space="preserve"> more a question of</w:t>
      </w:r>
      <w:r w:rsidR="002A6590" w:rsidRPr="00D44766">
        <w:rPr>
          <w:rFonts w:cs="Times New Roman"/>
          <w:lang w:val="en-GB"/>
        </w:rPr>
        <w:t xml:space="preserve"> how to become involved with CSR activities in order to make it believable to clients and not to have it backfire </w:t>
      </w:r>
      <w:r w:rsidR="002A6590" w:rsidRPr="00235F54">
        <w:rPr>
          <w:rFonts w:cs="Times New Roman"/>
          <w:color w:val="00B050"/>
          <w:lang w:val="en-GB"/>
        </w:rPr>
        <w:t>(Bhattacharya and Sen, 2004</w:t>
      </w:r>
      <w:r w:rsidR="002A6590" w:rsidRPr="00D44766">
        <w:rPr>
          <w:rFonts w:cs="Times New Roman"/>
          <w:lang w:val="en-GB"/>
        </w:rPr>
        <w:t>).</w:t>
      </w:r>
      <w:r w:rsidR="008F4CE7" w:rsidRPr="00D44766">
        <w:rPr>
          <w:rFonts w:cs="Times New Roman"/>
          <w:lang w:val="en-GB"/>
        </w:rPr>
        <w:t xml:space="preserve"> </w:t>
      </w:r>
    </w:p>
    <w:p w14:paraId="48B1F20E" w14:textId="07AC8F35" w:rsidR="00432AEE" w:rsidRDefault="007843FC" w:rsidP="00352FFF">
      <w:pPr>
        <w:contextualSpacing/>
        <w:rPr>
          <w:rFonts w:cs="Times New Roman"/>
          <w:lang w:val="en-GB"/>
        </w:rPr>
      </w:pPr>
      <w:r w:rsidRPr="00D44766">
        <w:rPr>
          <w:rFonts w:cs="Times New Roman"/>
          <w:lang w:val="en-GB"/>
        </w:rPr>
        <w:t xml:space="preserve">So overall, </w:t>
      </w:r>
      <w:r w:rsidR="00F650D9" w:rsidRPr="00D44766">
        <w:rPr>
          <w:rFonts w:cs="Times New Roman"/>
          <w:lang w:val="en-GB"/>
        </w:rPr>
        <w:t xml:space="preserve">CSR </w:t>
      </w:r>
      <w:r w:rsidRPr="00D44766">
        <w:rPr>
          <w:rFonts w:cs="Times New Roman"/>
          <w:lang w:val="en-GB"/>
        </w:rPr>
        <w:t xml:space="preserve">often </w:t>
      </w:r>
      <w:r w:rsidR="00F650D9" w:rsidRPr="00D44766">
        <w:rPr>
          <w:rFonts w:cs="Times New Roman"/>
          <w:lang w:val="en-GB"/>
        </w:rPr>
        <w:t xml:space="preserve">has developed into </w:t>
      </w:r>
      <w:r w:rsidRPr="00D44766">
        <w:rPr>
          <w:rFonts w:cs="Times New Roman"/>
          <w:lang w:val="en-GB"/>
        </w:rPr>
        <w:t xml:space="preserve">a </w:t>
      </w:r>
      <w:r w:rsidR="00F650D9" w:rsidRPr="00D44766">
        <w:rPr>
          <w:rFonts w:cs="Times New Roman"/>
          <w:lang w:val="en-GB"/>
        </w:rPr>
        <w:t xml:space="preserve">tool </w:t>
      </w:r>
      <w:r w:rsidRPr="00D44766">
        <w:rPr>
          <w:rFonts w:cs="Times New Roman"/>
          <w:lang w:val="en-GB"/>
        </w:rPr>
        <w:t xml:space="preserve">which is </w:t>
      </w:r>
      <w:r w:rsidR="00F650D9" w:rsidRPr="00D44766">
        <w:rPr>
          <w:rFonts w:cs="Times New Roman"/>
          <w:lang w:val="en-GB"/>
        </w:rPr>
        <w:t>consciously integrated into brand-building programs nowadays (</w:t>
      </w:r>
      <w:r w:rsidR="00F650D9" w:rsidRPr="00EC5775">
        <w:rPr>
          <w:rFonts w:cs="Times New Roman"/>
          <w:color w:val="00B050"/>
          <w:lang w:val="en-GB"/>
        </w:rPr>
        <w:t>Cowan and Guzmán, 2020; Muniz</w:t>
      </w:r>
      <w:r w:rsidR="00EC5775" w:rsidRPr="00EC5775">
        <w:rPr>
          <w:rFonts w:cs="Times New Roman"/>
          <w:color w:val="00B050"/>
          <w:lang w:val="en-GB"/>
        </w:rPr>
        <w:t>, Guzmán, Pawan and Crawford,</w:t>
      </w:r>
      <w:r w:rsidR="00F650D9" w:rsidRPr="00EC5775">
        <w:rPr>
          <w:rFonts w:cs="Times New Roman"/>
          <w:color w:val="00B050"/>
          <w:lang w:val="en-GB"/>
        </w:rPr>
        <w:t xml:space="preserve"> 2019; </w:t>
      </w:r>
      <w:r w:rsidR="00C70514" w:rsidRPr="00EC5775">
        <w:rPr>
          <w:rFonts w:cs="Times New Roman"/>
          <w:color w:val="00B050"/>
          <w:szCs w:val="24"/>
          <w:shd w:val="clear" w:color="auto" w:fill="FFFFFF"/>
          <w:lang w:val="en-GB"/>
        </w:rPr>
        <w:t>Rahman, Rodríguez-Serrano and Lambkin, 2018</w:t>
      </w:r>
      <w:r w:rsidR="00F650D9" w:rsidRPr="00EC5775">
        <w:rPr>
          <w:rFonts w:cs="Times New Roman"/>
          <w:color w:val="00B050"/>
          <w:lang w:val="en-GB"/>
        </w:rPr>
        <w:t>; Ishaq and Di Maria, 2020;</w:t>
      </w:r>
      <w:r w:rsidR="00F650D9" w:rsidRPr="00235F54">
        <w:rPr>
          <w:rFonts w:cs="Times New Roman"/>
          <w:color w:val="ED7D31" w:themeColor="accent2"/>
          <w:lang w:val="en-GB"/>
        </w:rPr>
        <w:t xml:space="preserve"> </w:t>
      </w:r>
      <w:r w:rsidR="00F650D9" w:rsidRPr="00EC5775">
        <w:rPr>
          <w:rFonts w:cs="Times New Roman"/>
          <w:color w:val="00B050"/>
          <w:lang w:val="en-GB"/>
        </w:rPr>
        <w:t>Li</w:t>
      </w:r>
      <w:r w:rsidR="00EC5775" w:rsidRPr="00EC5775">
        <w:rPr>
          <w:rFonts w:cs="Times New Roman"/>
          <w:color w:val="00B050"/>
          <w:lang w:val="en-GB"/>
        </w:rPr>
        <w:t>m, Sung and Lee,</w:t>
      </w:r>
      <w:r w:rsidR="00F650D9" w:rsidRPr="00EC5775">
        <w:rPr>
          <w:rFonts w:cs="Times New Roman"/>
          <w:color w:val="00B050"/>
          <w:lang w:val="en-GB"/>
        </w:rPr>
        <w:t xml:space="preserve"> 2018</w:t>
      </w:r>
      <w:r w:rsidR="00F650D9" w:rsidRPr="00D44766">
        <w:rPr>
          <w:rFonts w:cs="Times New Roman"/>
          <w:lang w:val="en-GB"/>
        </w:rPr>
        <w:t xml:space="preserve">). This development has already begun to start in the 1990s, when CSR </w:t>
      </w:r>
      <w:r w:rsidR="00D3400E">
        <w:rPr>
          <w:rFonts w:cs="Times New Roman"/>
          <w:lang w:val="en-GB"/>
        </w:rPr>
        <w:lastRenderedPageBreak/>
        <w:t>started</w:t>
      </w:r>
      <w:r w:rsidR="00F650D9" w:rsidRPr="00D44766">
        <w:rPr>
          <w:rFonts w:cs="Times New Roman"/>
          <w:lang w:val="en-GB"/>
        </w:rPr>
        <w:t xml:space="preserve"> to </w:t>
      </w:r>
      <w:r w:rsidR="00BC2788" w:rsidRPr="00D44766">
        <w:rPr>
          <w:rFonts w:cs="Times New Roman"/>
          <w:lang w:val="en-GB"/>
        </w:rPr>
        <w:t>advance</w:t>
      </w:r>
      <w:r w:rsidR="00F650D9" w:rsidRPr="00D44766">
        <w:rPr>
          <w:rFonts w:cs="Times New Roman"/>
          <w:lang w:val="en-GB"/>
        </w:rPr>
        <w:t xml:space="preserve"> into a strategic development tool </w:t>
      </w:r>
      <w:r w:rsidR="00B6738D" w:rsidRPr="00D44766">
        <w:rPr>
          <w:rFonts w:cs="Times New Roman"/>
          <w:lang w:val="en-GB"/>
        </w:rPr>
        <w:t>with the aim of establishing a competitive advantage while simultaneously addressing stakeholder interests (</w:t>
      </w:r>
      <w:r w:rsidR="00B6738D" w:rsidRPr="00235F54">
        <w:rPr>
          <w:rFonts w:cs="Times New Roman"/>
          <w:color w:val="00B050"/>
          <w:lang w:val="en-GB"/>
        </w:rPr>
        <w:t>Arena, Azzone and Mapelli, 2018</w:t>
      </w:r>
      <w:r w:rsidR="00B6738D" w:rsidRPr="00D44766">
        <w:rPr>
          <w:rFonts w:cs="Times New Roman"/>
          <w:lang w:val="en-GB"/>
        </w:rPr>
        <w:t xml:space="preserve">). Porter and Kramer (2006) </w:t>
      </w:r>
      <w:r w:rsidR="00BC2788" w:rsidRPr="00D44766">
        <w:rPr>
          <w:rFonts w:cs="Times New Roman"/>
          <w:lang w:val="en-GB"/>
        </w:rPr>
        <w:t>expanded</w:t>
      </w:r>
      <w:r w:rsidR="00B6738D" w:rsidRPr="00D44766">
        <w:rPr>
          <w:rFonts w:cs="Times New Roman"/>
          <w:lang w:val="en-GB"/>
        </w:rPr>
        <w:t xml:space="preserve"> this idea further by adding the concept of a shared value – which in essence highlights the synergies of the basic components of the triple bottom line </w:t>
      </w:r>
      <w:r w:rsidR="00A20A92" w:rsidRPr="00D44766">
        <w:rPr>
          <w:rFonts w:cs="Times New Roman"/>
          <w:lang w:val="en-GB"/>
        </w:rPr>
        <w:t xml:space="preserve">- </w:t>
      </w:r>
      <w:r w:rsidR="00B6738D" w:rsidRPr="00D44766">
        <w:rPr>
          <w:rFonts w:cs="Times New Roman"/>
          <w:lang w:val="en-GB"/>
        </w:rPr>
        <w:t xml:space="preserve">and </w:t>
      </w:r>
      <w:r w:rsidR="00BC2788" w:rsidRPr="00D44766">
        <w:rPr>
          <w:rFonts w:cs="Times New Roman"/>
          <w:lang w:val="en-GB"/>
        </w:rPr>
        <w:t xml:space="preserve">through an integration of these into </w:t>
      </w:r>
      <w:r w:rsidR="00B6738D" w:rsidRPr="00D44766">
        <w:rPr>
          <w:rFonts w:cs="Times New Roman"/>
          <w:lang w:val="en-GB"/>
        </w:rPr>
        <w:t>the core business activities</w:t>
      </w:r>
      <w:r w:rsidR="00BC2788" w:rsidRPr="00D44766">
        <w:rPr>
          <w:rFonts w:cs="Times New Roman"/>
          <w:lang w:val="en-GB"/>
        </w:rPr>
        <w:t xml:space="preserve"> companies can</w:t>
      </w:r>
      <w:r w:rsidR="00B6738D" w:rsidRPr="00D44766">
        <w:rPr>
          <w:rFonts w:cs="Times New Roman"/>
          <w:lang w:val="en-GB"/>
        </w:rPr>
        <w:t xml:space="preserve"> foster ‘greater economic values and broader strategic benefits for all participants’ (</w:t>
      </w:r>
      <w:r w:rsidR="00B6738D" w:rsidRPr="003A445D">
        <w:rPr>
          <w:rFonts w:cs="Times New Roman"/>
          <w:color w:val="00B050"/>
          <w:lang w:val="en-GB"/>
        </w:rPr>
        <w:t>Porter and Kramer, 2011</w:t>
      </w:r>
      <w:r w:rsidR="003A445D">
        <w:rPr>
          <w:rFonts w:cs="Times New Roman"/>
          <w:lang w:val="en-GB"/>
        </w:rPr>
        <w:t>)</w:t>
      </w:r>
      <w:r w:rsidR="00B6738D" w:rsidRPr="00D44766">
        <w:rPr>
          <w:rFonts w:cs="Times New Roman"/>
          <w:lang w:val="en-GB"/>
        </w:rPr>
        <w:t>.</w:t>
      </w:r>
      <w:r w:rsidR="00D3400E">
        <w:rPr>
          <w:rFonts w:cs="Times New Roman"/>
          <w:lang w:val="en-GB"/>
        </w:rPr>
        <w:t xml:space="preserve"> However, as aforementioned there will always have to be trade-off as all three dimensions cannot simultaneously and to the same extend be reached.</w:t>
      </w:r>
      <w:r w:rsidR="00B6738D" w:rsidRPr="00D44766">
        <w:rPr>
          <w:rFonts w:cs="Times New Roman"/>
          <w:lang w:val="en-GB"/>
        </w:rPr>
        <w:t xml:space="preserve"> </w:t>
      </w:r>
      <w:r w:rsidR="00E239E1" w:rsidRPr="00D44766">
        <w:rPr>
          <w:rFonts w:cs="Times New Roman"/>
          <w:lang w:val="en-GB"/>
        </w:rPr>
        <w:t>So,</w:t>
      </w:r>
      <w:r w:rsidR="00414C9D" w:rsidRPr="00D44766">
        <w:rPr>
          <w:rFonts w:cs="Times New Roman"/>
          <w:lang w:val="en-GB"/>
        </w:rPr>
        <w:t xml:space="preserve"> in the current competitive global marketplace</w:t>
      </w:r>
      <w:r w:rsidR="00D23600" w:rsidRPr="00D44766">
        <w:rPr>
          <w:rFonts w:cs="Times New Roman"/>
          <w:lang w:val="en-GB"/>
        </w:rPr>
        <w:t xml:space="preserve"> and upon apparent consumers request (</w:t>
      </w:r>
      <w:r w:rsidR="00D23600" w:rsidRPr="00EC5775">
        <w:rPr>
          <w:rFonts w:cs="Times New Roman"/>
          <w:color w:val="00B050"/>
          <w:lang w:val="en-GB"/>
        </w:rPr>
        <w:t>Muniz and Guzmán, 2021</w:t>
      </w:r>
      <w:r w:rsidR="00D23600" w:rsidRPr="00D44766">
        <w:rPr>
          <w:rFonts w:cs="Times New Roman"/>
          <w:lang w:val="en-GB"/>
        </w:rPr>
        <w:t>) more business</w:t>
      </w:r>
      <w:r w:rsidR="00A20A92" w:rsidRPr="00D44766">
        <w:rPr>
          <w:rFonts w:cs="Times New Roman"/>
          <w:lang w:val="en-GB"/>
        </w:rPr>
        <w:t>es</w:t>
      </w:r>
      <w:r w:rsidR="00D23600" w:rsidRPr="00D44766">
        <w:rPr>
          <w:rFonts w:cs="Times New Roman"/>
          <w:lang w:val="en-GB"/>
        </w:rPr>
        <w:t xml:space="preserve"> </w:t>
      </w:r>
      <w:r w:rsidR="00A20A92" w:rsidRPr="00D44766">
        <w:rPr>
          <w:rFonts w:cs="Times New Roman"/>
          <w:lang w:val="en-GB"/>
        </w:rPr>
        <w:t>have turned</w:t>
      </w:r>
      <w:r w:rsidR="00D23600" w:rsidRPr="00D44766">
        <w:rPr>
          <w:rFonts w:cs="Times New Roman"/>
          <w:lang w:val="en-GB"/>
        </w:rPr>
        <w:t xml:space="preserve"> towards CSR, thus </w:t>
      </w:r>
      <w:r w:rsidR="00414C9D" w:rsidRPr="00D44766">
        <w:rPr>
          <w:rFonts w:cs="Times New Roman"/>
          <w:lang w:val="en-GB"/>
        </w:rPr>
        <w:t>CSR</w:t>
      </w:r>
      <w:r w:rsidR="00D23600" w:rsidRPr="00D44766">
        <w:rPr>
          <w:rFonts w:cs="Times New Roman"/>
          <w:lang w:val="en-GB"/>
        </w:rPr>
        <w:t xml:space="preserve"> activities are developing into </w:t>
      </w:r>
      <w:r w:rsidR="00414C9D" w:rsidRPr="00D44766">
        <w:rPr>
          <w:rFonts w:cs="Times New Roman"/>
          <w:lang w:val="en-GB"/>
        </w:rPr>
        <w:t>a strategic theme for</w:t>
      </w:r>
      <w:r w:rsidR="009B687A" w:rsidRPr="00D44766">
        <w:rPr>
          <w:rFonts w:cs="Times New Roman"/>
          <w:lang w:val="en-GB"/>
        </w:rPr>
        <w:t xml:space="preserve"> even more</w:t>
      </w:r>
      <w:r w:rsidR="00414C9D" w:rsidRPr="00D44766">
        <w:rPr>
          <w:rFonts w:cs="Times New Roman"/>
          <w:lang w:val="en-GB"/>
        </w:rPr>
        <w:t xml:space="preserve"> business</w:t>
      </w:r>
      <w:r w:rsidR="00A20A92" w:rsidRPr="00D44766">
        <w:rPr>
          <w:rFonts w:cs="Times New Roman"/>
          <w:lang w:val="en-GB"/>
        </w:rPr>
        <w:t>es</w:t>
      </w:r>
      <w:r w:rsidR="00414C9D" w:rsidRPr="00D44766">
        <w:rPr>
          <w:rFonts w:cs="Times New Roman"/>
          <w:lang w:val="en-GB"/>
        </w:rPr>
        <w:t xml:space="preserve"> (</w:t>
      </w:r>
      <w:r w:rsidR="00414C9D" w:rsidRPr="00EC5775">
        <w:rPr>
          <w:rFonts w:cs="Times New Roman"/>
          <w:color w:val="00B050"/>
          <w:lang w:val="en-GB"/>
        </w:rPr>
        <w:t>Campbell, 2007</w:t>
      </w:r>
      <w:r w:rsidR="00414C9D" w:rsidRPr="00D44766">
        <w:rPr>
          <w:rFonts w:cs="Times New Roman"/>
          <w:lang w:val="en-GB"/>
        </w:rPr>
        <w:t xml:space="preserve">; </w:t>
      </w:r>
      <w:r w:rsidR="00414C9D" w:rsidRPr="00EC5775">
        <w:rPr>
          <w:rFonts w:cs="Times New Roman"/>
          <w:color w:val="00B050"/>
          <w:lang w:val="en-GB"/>
        </w:rPr>
        <w:t>Castelló and Lozano, 2009)</w:t>
      </w:r>
      <w:r w:rsidR="00D23600" w:rsidRPr="00EC5775">
        <w:rPr>
          <w:rFonts w:cs="Times New Roman"/>
          <w:color w:val="00B050"/>
          <w:lang w:val="en-GB"/>
        </w:rPr>
        <w:t>.</w:t>
      </w:r>
      <w:r w:rsidR="00D23600" w:rsidRPr="00D44766">
        <w:rPr>
          <w:rFonts w:cs="Times New Roman"/>
          <w:lang w:val="en-GB"/>
        </w:rPr>
        <w:t xml:space="preserve"> As various academics agree (</w:t>
      </w:r>
      <w:r w:rsidR="00AA538D" w:rsidRPr="00D44766">
        <w:rPr>
          <w:rFonts w:cs="Times New Roman"/>
          <w:lang w:val="en-GB"/>
        </w:rPr>
        <w:t>e.g.,</w:t>
      </w:r>
      <w:r w:rsidR="00D23600" w:rsidRPr="00D44766">
        <w:rPr>
          <w:rFonts w:cs="Times New Roman"/>
          <w:lang w:val="en-GB"/>
        </w:rPr>
        <w:t xml:space="preserve"> </w:t>
      </w:r>
      <w:r w:rsidR="00D23600" w:rsidRPr="00EC5775">
        <w:rPr>
          <w:rFonts w:cs="Times New Roman"/>
          <w:color w:val="00B050"/>
          <w:lang w:val="en-GB"/>
        </w:rPr>
        <w:t>Du, Bhattacharya and Sen, 20</w:t>
      </w:r>
      <w:r w:rsidR="004C2409">
        <w:rPr>
          <w:rFonts w:cs="Times New Roman"/>
          <w:color w:val="00B050"/>
          <w:lang w:val="en-GB"/>
        </w:rPr>
        <w:t>07</w:t>
      </w:r>
      <w:r w:rsidR="00EC5775" w:rsidRPr="00EC5775">
        <w:rPr>
          <w:rFonts w:cs="Times New Roman"/>
          <w:color w:val="00B050"/>
          <w:lang w:val="en-GB"/>
        </w:rPr>
        <w:t>, 20</w:t>
      </w:r>
      <w:r w:rsidR="004C2409">
        <w:rPr>
          <w:rFonts w:cs="Times New Roman"/>
          <w:color w:val="00B050"/>
          <w:lang w:val="en-GB"/>
        </w:rPr>
        <w:t>1</w:t>
      </w:r>
      <w:r w:rsidR="00EC5775" w:rsidRPr="00EC5775">
        <w:rPr>
          <w:rFonts w:cs="Times New Roman"/>
          <w:color w:val="00B050"/>
          <w:lang w:val="en-GB"/>
        </w:rPr>
        <w:t>0</w:t>
      </w:r>
      <w:r w:rsidR="00D23600" w:rsidRPr="00D44766">
        <w:rPr>
          <w:rFonts w:cs="Times New Roman"/>
          <w:lang w:val="en-GB"/>
        </w:rPr>
        <w:t xml:space="preserve">; </w:t>
      </w:r>
      <w:r w:rsidR="00D23600" w:rsidRPr="00EC5775">
        <w:rPr>
          <w:rFonts w:cs="Times New Roman"/>
          <w:color w:val="00B050"/>
          <w:lang w:val="en-GB"/>
        </w:rPr>
        <w:t>Lichtenstein</w:t>
      </w:r>
      <w:r w:rsidR="00EC5775" w:rsidRPr="00EC5775">
        <w:rPr>
          <w:rFonts w:cs="Times New Roman"/>
          <w:color w:val="00B050"/>
          <w:lang w:val="en-GB"/>
        </w:rPr>
        <w:t>, Drumwright and Braig</w:t>
      </w:r>
      <w:r w:rsidR="00D23600" w:rsidRPr="00EC5775">
        <w:rPr>
          <w:rFonts w:cs="Times New Roman"/>
          <w:color w:val="00B050"/>
          <w:lang w:val="en-GB"/>
        </w:rPr>
        <w:t xml:space="preserve">, 2004; </w:t>
      </w:r>
      <w:r w:rsidR="00F91905" w:rsidRPr="00EC5775">
        <w:rPr>
          <w:rFonts w:cs="Times New Roman"/>
          <w:color w:val="00B050"/>
          <w:lang w:val="en-GB"/>
        </w:rPr>
        <w:t>Sen and Bhattacharya, 2001</w:t>
      </w:r>
      <w:r w:rsidR="00F91905" w:rsidRPr="00D44766">
        <w:rPr>
          <w:rFonts w:cs="Times New Roman"/>
          <w:lang w:val="en-GB"/>
        </w:rPr>
        <w:t xml:space="preserve">; </w:t>
      </w:r>
      <w:r w:rsidR="00D23600" w:rsidRPr="00EC5775">
        <w:rPr>
          <w:rFonts w:cs="Times New Roman"/>
          <w:color w:val="00B050"/>
          <w:lang w:val="en-GB"/>
        </w:rPr>
        <w:t>Sen</w:t>
      </w:r>
      <w:r w:rsidR="00EC5775" w:rsidRPr="00EC5775">
        <w:rPr>
          <w:rFonts w:cs="Times New Roman"/>
          <w:color w:val="00B050"/>
          <w:lang w:val="en-GB"/>
        </w:rPr>
        <w:t>, Bhattacharya and Korschun,</w:t>
      </w:r>
      <w:r w:rsidR="00D23600" w:rsidRPr="00EC5775">
        <w:rPr>
          <w:rFonts w:cs="Times New Roman"/>
          <w:color w:val="00B050"/>
          <w:lang w:val="en-GB"/>
        </w:rPr>
        <w:t xml:space="preserve"> 2006; Turban and Greening, 1997</w:t>
      </w:r>
      <w:r w:rsidR="00D23600" w:rsidRPr="00D44766">
        <w:rPr>
          <w:rFonts w:cs="Times New Roman"/>
          <w:lang w:val="en-GB"/>
        </w:rPr>
        <w:t xml:space="preserve">, </w:t>
      </w:r>
      <w:r w:rsidR="00D23600" w:rsidRPr="00EC5775">
        <w:rPr>
          <w:rFonts w:cs="Times New Roman"/>
          <w:color w:val="00B050"/>
          <w:lang w:val="en-GB"/>
        </w:rPr>
        <w:t>Muniz and Guzmán, 2021</w:t>
      </w:r>
      <w:r w:rsidR="00B77BF8" w:rsidRPr="00D44766">
        <w:rPr>
          <w:rFonts w:cs="Times New Roman"/>
          <w:lang w:val="en-GB"/>
        </w:rPr>
        <w:t xml:space="preserve">; </w:t>
      </w:r>
      <w:r w:rsidR="00B77BF8" w:rsidRPr="00EC5775">
        <w:rPr>
          <w:rFonts w:cs="Times New Roman"/>
          <w:color w:val="00B050"/>
          <w:lang w:val="en-GB"/>
        </w:rPr>
        <w:t>Guzmán and Becker Olsen, 2010;</w:t>
      </w:r>
      <w:r w:rsidR="00B77BF8" w:rsidRPr="00D44766">
        <w:rPr>
          <w:rFonts w:cs="Times New Roman"/>
          <w:lang w:val="en-GB"/>
        </w:rPr>
        <w:t xml:space="preserve"> </w:t>
      </w:r>
      <w:r w:rsidR="00B77BF8" w:rsidRPr="00235F54">
        <w:rPr>
          <w:rFonts w:cs="Times New Roman"/>
          <w:color w:val="00B050"/>
          <w:lang w:val="en-GB"/>
        </w:rPr>
        <w:t>Iglesias and Ind, 2020</w:t>
      </w:r>
      <w:r w:rsidR="00D23600" w:rsidRPr="00D44766">
        <w:rPr>
          <w:rFonts w:ascii="Abadi Extra Light" w:hAnsi="Abadi Extra Light"/>
          <w:lang w:val="en-GB"/>
        </w:rPr>
        <w:t xml:space="preserve">) </w:t>
      </w:r>
      <w:r w:rsidR="00D23600" w:rsidRPr="00D44766">
        <w:rPr>
          <w:rFonts w:cs="Times New Roman"/>
          <w:lang w:val="en-GB"/>
        </w:rPr>
        <w:t xml:space="preserve">CSR activities by far are not (only) driven by </w:t>
      </w:r>
      <w:r w:rsidR="009B687A" w:rsidRPr="00D44766">
        <w:rPr>
          <w:rFonts w:cs="Times New Roman"/>
          <w:lang w:val="en-GB"/>
        </w:rPr>
        <w:t xml:space="preserve">the </w:t>
      </w:r>
      <w:r w:rsidR="00D23600" w:rsidRPr="00D44766">
        <w:rPr>
          <w:rFonts w:cs="Times New Roman"/>
          <w:lang w:val="en-GB"/>
        </w:rPr>
        <w:t>benevolence thinking of business leaders</w:t>
      </w:r>
      <w:r w:rsidR="00432AEE">
        <w:rPr>
          <w:rFonts w:cs="Times New Roman"/>
          <w:lang w:val="en-GB"/>
        </w:rPr>
        <w:t xml:space="preserve">. </w:t>
      </w:r>
      <w:r w:rsidR="00432AEE" w:rsidRPr="00375112">
        <w:rPr>
          <w:rFonts w:cs="Times New Roman"/>
          <w:color w:val="70AD47" w:themeColor="accent6"/>
          <w:lang w:val="en-GB"/>
        </w:rPr>
        <w:t>Singh</w:t>
      </w:r>
      <w:r w:rsidR="00375112" w:rsidRPr="00375112">
        <w:rPr>
          <w:rFonts w:cs="Times New Roman"/>
          <w:color w:val="70AD47" w:themeColor="accent6"/>
          <w:lang w:val="en-GB"/>
        </w:rPr>
        <w:t xml:space="preserve">, Khare, Pandey and Sharma </w:t>
      </w:r>
      <w:r w:rsidR="00432AEE" w:rsidRPr="00375112">
        <w:rPr>
          <w:rFonts w:cs="Times New Roman"/>
          <w:color w:val="70AD47" w:themeColor="accent6"/>
          <w:lang w:val="en-GB"/>
        </w:rPr>
        <w:t>(2021)</w:t>
      </w:r>
      <w:r w:rsidR="00432AEE">
        <w:rPr>
          <w:rFonts w:cs="Times New Roman"/>
          <w:lang w:val="en-GB"/>
        </w:rPr>
        <w:t xml:space="preserve"> argue that CSR involvement has a consequence of the increasing institutionalisation of business and competition.</w:t>
      </w:r>
      <w:r w:rsidR="00D23600" w:rsidRPr="00D44766">
        <w:rPr>
          <w:rFonts w:cs="Times New Roman"/>
          <w:lang w:val="en-GB"/>
        </w:rPr>
        <w:t xml:space="preserve"> CSR can be a powerful tool to influence key stakeholders to form positive images related to the respective company involved in CSR activities </w:t>
      </w:r>
      <w:r w:rsidR="00B77BF8" w:rsidRPr="00D44766">
        <w:rPr>
          <w:rFonts w:cs="Times New Roman"/>
          <w:lang w:val="en-GB"/>
        </w:rPr>
        <w:t>–</w:t>
      </w:r>
      <w:r w:rsidR="00D23600" w:rsidRPr="00D44766">
        <w:rPr>
          <w:rFonts w:cs="Times New Roman"/>
          <w:lang w:val="en-GB"/>
        </w:rPr>
        <w:t xml:space="preserve"> </w:t>
      </w:r>
      <w:r w:rsidR="00B77BF8" w:rsidRPr="00D44766">
        <w:rPr>
          <w:rFonts w:cs="Times New Roman"/>
          <w:lang w:val="en-GB"/>
        </w:rPr>
        <w:t>these positive effect</w:t>
      </w:r>
      <w:r w:rsidR="00AA538D">
        <w:rPr>
          <w:rFonts w:cs="Times New Roman"/>
          <w:lang w:val="en-GB"/>
        </w:rPr>
        <w:t>s</w:t>
      </w:r>
      <w:r w:rsidR="00B77BF8" w:rsidRPr="00D44766">
        <w:rPr>
          <w:rFonts w:cs="Times New Roman"/>
          <w:lang w:val="en-GB"/>
        </w:rPr>
        <w:t xml:space="preserve"> that CSR activities can exert range from increased customer loyalty, willingness to pay premium prices and building resilience towards bad press. On another side, being involved in CSR activities also make companies more attractive to other stakeholders – attracting new employees or new investors (</w:t>
      </w:r>
      <w:r w:rsidR="00EC5775" w:rsidRPr="00EC5775">
        <w:rPr>
          <w:rFonts w:cs="Times New Roman"/>
          <w:color w:val="00B050"/>
          <w:lang w:val="en-GB"/>
        </w:rPr>
        <w:t>Sen, Bhattacharya and Korschun, 2006</w:t>
      </w:r>
      <w:r w:rsidR="00B77BF8" w:rsidRPr="00D44766">
        <w:rPr>
          <w:rFonts w:cs="Times New Roman"/>
          <w:lang w:val="en-GB"/>
        </w:rPr>
        <w:t xml:space="preserve">). There seems to be multi-faceted rewards waiting for companies </w:t>
      </w:r>
      <w:r w:rsidR="009B687A" w:rsidRPr="00D44766">
        <w:rPr>
          <w:rFonts w:cs="Times New Roman"/>
          <w:lang w:val="en-GB"/>
        </w:rPr>
        <w:t xml:space="preserve">which they </w:t>
      </w:r>
      <w:r w:rsidR="00B77BF8" w:rsidRPr="00D44766">
        <w:rPr>
          <w:rFonts w:cs="Times New Roman"/>
          <w:lang w:val="en-GB"/>
        </w:rPr>
        <w:t>can reap from engaging in CSR – besides the positive impact on the social and environmental side (</w:t>
      </w:r>
      <w:r w:rsidR="00B77BF8" w:rsidRPr="00EC5775">
        <w:rPr>
          <w:rFonts w:cs="Times New Roman"/>
          <w:color w:val="00B050"/>
          <w:lang w:val="en-GB"/>
        </w:rPr>
        <w:t>R</w:t>
      </w:r>
      <w:r w:rsidR="00EC5775" w:rsidRPr="00EC5775">
        <w:rPr>
          <w:rFonts w:cs="Times New Roman"/>
          <w:color w:val="00B050"/>
          <w:lang w:val="en-GB"/>
        </w:rPr>
        <w:t>a</w:t>
      </w:r>
      <w:r w:rsidR="00B77BF8" w:rsidRPr="00EC5775">
        <w:rPr>
          <w:rFonts w:cs="Times New Roman"/>
          <w:color w:val="00B050"/>
          <w:lang w:val="en-GB"/>
        </w:rPr>
        <w:t>ndl</w:t>
      </w:r>
      <w:r w:rsidR="00EC5775" w:rsidRPr="00EC5775">
        <w:rPr>
          <w:rFonts w:cs="Times New Roman"/>
          <w:color w:val="00B050"/>
          <w:lang w:val="en-GB"/>
        </w:rPr>
        <w:t>e</w:t>
      </w:r>
      <w:r w:rsidR="00B77BF8" w:rsidRPr="00EC5775">
        <w:rPr>
          <w:rFonts w:cs="Times New Roman"/>
          <w:color w:val="00B050"/>
          <w:lang w:val="en-GB"/>
        </w:rPr>
        <w:t>, Kemperman and Dolnicar, 2019</w:t>
      </w:r>
      <w:r w:rsidR="00B77BF8" w:rsidRPr="00D44766">
        <w:rPr>
          <w:rFonts w:cs="Times New Roman"/>
          <w:lang w:val="en-GB"/>
        </w:rPr>
        <w:t>).</w:t>
      </w:r>
      <w:r w:rsidR="00A20A92" w:rsidRPr="00D44766">
        <w:rPr>
          <w:rFonts w:cs="Times New Roman"/>
          <w:lang w:val="en-GB"/>
        </w:rPr>
        <w:t xml:space="preserve"> </w:t>
      </w:r>
      <w:r w:rsidR="00432AEE">
        <w:rPr>
          <w:rFonts w:cs="Times New Roman"/>
          <w:lang w:val="en-GB"/>
        </w:rPr>
        <w:t xml:space="preserve">These benefits are also highlighted by the ISO itself. In their Discovering ISO 26000 </w:t>
      </w:r>
      <w:r w:rsidR="006B6A84">
        <w:rPr>
          <w:rFonts w:cs="Times New Roman"/>
          <w:lang w:val="en-GB"/>
        </w:rPr>
        <w:t xml:space="preserve">brochure </w:t>
      </w:r>
      <w:r w:rsidR="006B6A84" w:rsidRPr="007B5FF7">
        <w:rPr>
          <w:rFonts w:cs="Times New Roman"/>
          <w:color w:val="00B050"/>
          <w:lang w:val="en-GB"/>
        </w:rPr>
        <w:t>(ISO, 2018</w:t>
      </w:r>
      <w:r w:rsidR="006B6A84" w:rsidRPr="006B6A84">
        <w:rPr>
          <w:rFonts w:cs="Times New Roman"/>
          <w:lang w:val="en-GB"/>
        </w:rPr>
        <w:t>)</w:t>
      </w:r>
      <w:r w:rsidR="006B6A84">
        <w:rPr>
          <w:rFonts w:cs="Times New Roman"/>
          <w:lang w:val="en-GB"/>
        </w:rPr>
        <w:t xml:space="preserve"> it is mentioned that the ‘performance on social responsibility can influence, among other things: competitive advantage, reputation […]’ (p. 5). </w:t>
      </w:r>
    </w:p>
    <w:p w14:paraId="681C002E" w14:textId="1590E757" w:rsidR="00352FFF" w:rsidRPr="00D44766" w:rsidRDefault="00352FFF" w:rsidP="00352FFF">
      <w:pPr>
        <w:contextualSpacing/>
        <w:rPr>
          <w:rFonts w:cs="Times New Roman"/>
          <w:lang w:val="en-GB"/>
        </w:rPr>
      </w:pPr>
      <w:r w:rsidRPr="00D44766">
        <w:rPr>
          <w:rFonts w:cs="Times New Roman"/>
          <w:lang w:val="en-GB"/>
        </w:rPr>
        <w:t xml:space="preserve">However, </w:t>
      </w:r>
      <w:r w:rsidR="006B6A84">
        <w:rPr>
          <w:rFonts w:cs="Times New Roman"/>
          <w:lang w:val="en-GB"/>
        </w:rPr>
        <w:t>looking at the literature various</w:t>
      </w:r>
      <w:r w:rsidRPr="00D44766">
        <w:rPr>
          <w:rFonts w:cs="Times New Roman"/>
          <w:lang w:val="en-GB"/>
        </w:rPr>
        <w:t xml:space="preserve"> studies show only little to no evidence of the impact of CSR related initiatives on the purchase-intention, product choice or even accepted justification of higher prices – all these aspects still seem to first and foremost be influenced by the functional attributes of the product in question (</w:t>
      </w:r>
      <w:r w:rsidRPr="00EC5775">
        <w:rPr>
          <w:rFonts w:cs="Times New Roman"/>
          <w:color w:val="00B050"/>
          <w:lang w:val="en-GB"/>
        </w:rPr>
        <w:t>Randle, Kemperman and Dolnicar, 2019</w:t>
      </w:r>
      <w:r w:rsidRPr="00D44766">
        <w:rPr>
          <w:rFonts w:cs="Times New Roman"/>
          <w:lang w:val="en-GB"/>
        </w:rPr>
        <w:t xml:space="preserve">). Moreover, the reaction of clients to CSR activities </w:t>
      </w:r>
      <w:r w:rsidR="00E239E1" w:rsidRPr="00D44766">
        <w:rPr>
          <w:rFonts w:cs="Times New Roman"/>
          <w:lang w:val="en-GB"/>
        </w:rPr>
        <w:t>varies</w:t>
      </w:r>
      <w:r w:rsidRPr="00D44766">
        <w:rPr>
          <w:rFonts w:cs="Times New Roman"/>
          <w:lang w:val="en-GB"/>
        </w:rPr>
        <w:t xml:space="preserve"> severely and numerous fac</w:t>
      </w:r>
      <w:r w:rsidRPr="00D44766">
        <w:rPr>
          <w:rFonts w:cs="Times New Roman"/>
          <w:lang w:val="en-GB"/>
        </w:rPr>
        <w:lastRenderedPageBreak/>
        <w:t xml:space="preserve">tors effect if CSR activities actually translate into actual consumer purchases </w:t>
      </w:r>
      <w:r w:rsidRPr="00EC5775">
        <w:rPr>
          <w:rFonts w:cs="Times New Roman"/>
          <w:color w:val="00B050"/>
          <w:lang w:val="en-GB"/>
        </w:rPr>
        <w:t>(Bhattacharya and Sen, 2004</w:t>
      </w:r>
      <w:r w:rsidRPr="00D44766">
        <w:rPr>
          <w:rFonts w:cs="Times New Roman"/>
          <w:lang w:val="en-GB"/>
        </w:rPr>
        <w:t xml:space="preserve">). </w:t>
      </w:r>
    </w:p>
    <w:p w14:paraId="44FFB991" w14:textId="01FEA61F" w:rsidR="00A20A92" w:rsidRPr="00D44766" w:rsidRDefault="002A6883" w:rsidP="002E26E0">
      <w:pPr>
        <w:contextualSpacing/>
        <w:rPr>
          <w:rFonts w:cs="Times New Roman"/>
          <w:lang w:val="en-GB"/>
        </w:rPr>
      </w:pPr>
      <w:r>
        <w:rPr>
          <w:rFonts w:cs="Times New Roman"/>
          <w:lang w:val="en-GB"/>
        </w:rPr>
        <w:t>Despite that</w:t>
      </w:r>
      <w:r w:rsidR="00352FFF" w:rsidRPr="00D44766">
        <w:rPr>
          <w:rFonts w:cs="Times New Roman"/>
          <w:lang w:val="en-GB"/>
        </w:rPr>
        <w:t>, many companies</w:t>
      </w:r>
      <w:r>
        <w:rPr>
          <w:rFonts w:cs="Times New Roman"/>
          <w:lang w:val="en-GB"/>
        </w:rPr>
        <w:t xml:space="preserve"> report and share</w:t>
      </w:r>
      <w:r w:rsidR="00352FFF" w:rsidRPr="00D44766">
        <w:rPr>
          <w:rFonts w:cs="Times New Roman"/>
          <w:lang w:val="en-GB"/>
        </w:rPr>
        <w:t xml:space="preserve"> their CSR activities i</w:t>
      </w:r>
      <w:r w:rsidR="0033770E" w:rsidRPr="00D44766">
        <w:rPr>
          <w:rFonts w:cs="Times New Roman"/>
          <w:lang w:val="en-GB"/>
        </w:rPr>
        <w:t xml:space="preserve">n </w:t>
      </w:r>
      <w:r w:rsidR="00352FFF" w:rsidRPr="00D44766">
        <w:rPr>
          <w:rFonts w:cs="Times New Roman"/>
          <w:lang w:val="en-GB"/>
        </w:rPr>
        <w:t>the promise of benefitting from them</w:t>
      </w:r>
      <w:r w:rsidR="0033770E" w:rsidRPr="00D44766">
        <w:rPr>
          <w:rFonts w:cs="Times New Roman"/>
          <w:lang w:val="en-GB"/>
        </w:rPr>
        <w:t xml:space="preserve"> – although </w:t>
      </w:r>
      <w:r w:rsidR="00E239E1" w:rsidRPr="00D44766">
        <w:rPr>
          <w:rFonts w:cs="Times New Roman"/>
          <w:lang w:val="en-GB"/>
        </w:rPr>
        <w:t>it is</w:t>
      </w:r>
      <w:r w:rsidR="0033770E" w:rsidRPr="00D44766">
        <w:rPr>
          <w:rFonts w:cs="Times New Roman"/>
          <w:lang w:val="en-GB"/>
        </w:rPr>
        <w:t xml:space="preserve"> not intended and in the original essence of CSR</w:t>
      </w:r>
      <w:r w:rsidR="00352FFF" w:rsidRPr="00D44766">
        <w:rPr>
          <w:rFonts w:cs="Times New Roman"/>
          <w:lang w:val="en-GB"/>
        </w:rPr>
        <w:t xml:space="preserve">. </w:t>
      </w:r>
      <w:r w:rsidR="00E239E1" w:rsidRPr="00D44766">
        <w:rPr>
          <w:rFonts w:cs="Times New Roman"/>
          <w:lang w:val="en-GB"/>
        </w:rPr>
        <w:t>However,</w:t>
      </w:r>
      <w:r w:rsidR="00352FFF" w:rsidRPr="00D44766">
        <w:rPr>
          <w:rFonts w:cs="Times New Roman"/>
          <w:lang w:val="en-GB"/>
        </w:rPr>
        <w:t xml:space="preserve"> in order for companies to potential draw a benefit out of their CSR activities</w:t>
      </w:r>
      <w:r w:rsidR="0033770E" w:rsidRPr="00D44766">
        <w:rPr>
          <w:rFonts w:cs="Times New Roman"/>
          <w:lang w:val="en-GB"/>
        </w:rPr>
        <w:t xml:space="preserve"> – consumers a) </w:t>
      </w:r>
      <w:r w:rsidR="00352FFF" w:rsidRPr="00D44766">
        <w:rPr>
          <w:rFonts w:cs="Times New Roman"/>
          <w:lang w:val="en-GB"/>
        </w:rPr>
        <w:t xml:space="preserve">have to </w:t>
      </w:r>
      <w:r w:rsidR="0033770E" w:rsidRPr="00D44766">
        <w:rPr>
          <w:rFonts w:cs="Times New Roman"/>
          <w:lang w:val="en-GB"/>
        </w:rPr>
        <w:t>be aware and b) appreciate it and actually translate this appreciation into actual purchasing behaviou</w:t>
      </w:r>
      <w:r w:rsidR="00352FFF" w:rsidRPr="00D44766">
        <w:rPr>
          <w:rFonts w:cs="Times New Roman"/>
          <w:lang w:val="en-GB"/>
        </w:rPr>
        <w:t>r</w:t>
      </w:r>
      <w:r w:rsidR="0033770E" w:rsidRPr="00D44766">
        <w:rPr>
          <w:rFonts w:cs="Times New Roman"/>
          <w:lang w:val="en-GB"/>
        </w:rPr>
        <w:t xml:space="preserve">. </w:t>
      </w:r>
      <w:r w:rsidR="009B687A" w:rsidRPr="00D44766">
        <w:rPr>
          <w:rFonts w:cs="Times New Roman"/>
          <w:lang w:val="en-GB"/>
        </w:rPr>
        <w:t>An</w:t>
      </w:r>
      <w:r w:rsidR="00D3400E">
        <w:rPr>
          <w:rFonts w:cs="Times New Roman"/>
          <w:lang w:val="en-GB"/>
        </w:rPr>
        <w:t>d</w:t>
      </w:r>
      <w:r w:rsidR="009B687A" w:rsidRPr="00D44766">
        <w:rPr>
          <w:rFonts w:cs="Times New Roman"/>
          <w:lang w:val="en-GB"/>
        </w:rPr>
        <w:t xml:space="preserve"> as already hinted above, theoretical purchase behaviour seems to deviate from actual purchasing behaviour. Nevertheless, t</w:t>
      </w:r>
      <w:r w:rsidR="0033770E" w:rsidRPr="00D44766">
        <w:rPr>
          <w:rFonts w:cs="Times New Roman"/>
          <w:lang w:val="en-GB"/>
        </w:rPr>
        <w:t xml:space="preserve">he communication of CSR activities, can become a crucial factor. As </w:t>
      </w:r>
      <w:r w:rsidR="0033770E" w:rsidRPr="00EC331E">
        <w:rPr>
          <w:rFonts w:cs="Times New Roman"/>
          <w:color w:val="00B050"/>
          <w:lang w:val="en-GB"/>
        </w:rPr>
        <w:t>Du, Bhattacharya and Sen (2010</w:t>
      </w:r>
      <w:r w:rsidR="0033770E" w:rsidRPr="00D44766">
        <w:rPr>
          <w:rFonts w:cs="Times New Roman"/>
          <w:lang w:val="en-GB"/>
        </w:rPr>
        <w:t>) explain, customers can evaluate</w:t>
      </w:r>
      <w:r w:rsidR="00A20A92" w:rsidRPr="00D44766">
        <w:rPr>
          <w:rFonts w:cs="Times New Roman"/>
          <w:lang w:val="en-GB"/>
        </w:rPr>
        <w:t xml:space="preserve"> and attribute</w:t>
      </w:r>
      <w:r w:rsidR="0033770E" w:rsidRPr="00D44766">
        <w:rPr>
          <w:rFonts w:cs="Times New Roman"/>
          <w:lang w:val="en-GB"/>
        </w:rPr>
        <w:t xml:space="preserve"> CSR motives in one of two ways: </w:t>
      </w:r>
      <w:r w:rsidR="00285B8E" w:rsidRPr="00D44766">
        <w:rPr>
          <w:rFonts w:cs="Times New Roman"/>
          <w:lang w:val="en-GB"/>
        </w:rPr>
        <w:t>an extrinsic attribution</w:t>
      </w:r>
      <w:r w:rsidR="009B687A" w:rsidRPr="00D44766">
        <w:rPr>
          <w:rFonts w:cs="Times New Roman"/>
          <w:lang w:val="en-GB"/>
        </w:rPr>
        <w:t>, which</w:t>
      </w:r>
      <w:r w:rsidR="00285B8E" w:rsidRPr="00D44766">
        <w:rPr>
          <w:rFonts w:cs="Times New Roman"/>
          <w:lang w:val="en-GB"/>
        </w:rPr>
        <w:t xml:space="preserve"> is seen as the company using CSR activities as a tool to increase profits, or an intrinsic attribution whereby the CSR activity is believed to be rooted in a genuine concern. </w:t>
      </w:r>
    </w:p>
    <w:p w14:paraId="7D9079E4" w14:textId="03AF8DE6" w:rsidR="008F2B9C" w:rsidRPr="00D44766" w:rsidRDefault="000559E7" w:rsidP="00A20A92">
      <w:pPr>
        <w:contextualSpacing/>
        <w:rPr>
          <w:rFonts w:cs="Times New Roman"/>
          <w:lang w:val="en-GB"/>
        </w:rPr>
      </w:pPr>
      <w:r w:rsidRPr="00D44766">
        <w:rPr>
          <w:rFonts w:cs="Times New Roman"/>
          <w:lang w:val="en-GB"/>
        </w:rPr>
        <w:t xml:space="preserve">For consumers </w:t>
      </w:r>
      <w:r w:rsidR="007B5FF7">
        <w:rPr>
          <w:rFonts w:cs="Times New Roman"/>
          <w:lang w:val="en-GB"/>
        </w:rPr>
        <w:t xml:space="preserve">it is basically impossible to differentiate between the drivers behind CSR activities of companies mentioned above. As per ISO, CSR can come with the benefit of establishing </w:t>
      </w:r>
      <w:r w:rsidR="00AA538D">
        <w:rPr>
          <w:rFonts w:cs="Times New Roman"/>
          <w:lang w:val="en-GB"/>
        </w:rPr>
        <w:t>a</w:t>
      </w:r>
      <w:r w:rsidR="007B5FF7">
        <w:rPr>
          <w:rFonts w:cs="Times New Roman"/>
          <w:lang w:val="en-GB"/>
        </w:rPr>
        <w:t xml:space="preserve"> competitive advantage which leads to an increase in profit. A good communication and reporting </w:t>
      </w:r>
      <w:r w:rsidR="00AA538D">
        <w:rPr>
          <w:rFonts w:cs="Times New Roman"/>
          <w:lang w:val="en-GB"/>
        </w:rPr>
        <w:t>are</w:t>
      </w:r>
      <w:r w:rsidR="007B5FF7">
        <w:rPr>
          <w:rFonts w:cs="Times New Roman"/>
          <w:lang w:val="en-GB"/>
        </w:rPr>
        <w:t xml:space="preserve"> necessary. </w:t>
      </w:r>
      <w:r w:rsidRPr="00D44766">
        <w:rPr>
          <w:rFonts w:cs="Times New Roman"/>
          <w:lang w:val="en-GB"/>
        </w:rPr>
        <w:t xml:space="preserve">If </w:t>
      </w:r>
      <w:r w:rsidR="007B5FF7">
        <w:rPr>
          <w:rFonts w:cs="Times New Roman"/>
          <w:lang w:val="en-GB"/>
        </w:rPr>
        <w:t>CSR</w:t>
      </w:r>
      <w:r w:rsidRPr="00D44766">
        <w:rPr>
          <w:rFonts w:cs="Times New Roman"/>
          <w:lang w:val="en-GB"/>
        </w:rPr>
        <w:t xml:space="preserve"> activities are not well communicated clients can attribute them the wrong way, leading them to believe CSR activities have the sole purpose to cover-up and be a mere window-dressing for the company to appear environmentally and socially responsible. </w:t>
      </w:r>
      <w:r w:rsidR="00E239E1" w:rsidRPr="00D44766">
        <w:rPr>
          <w:rFonts w:cs="Times New Roman"/>
          <w:lang w:val="en-GB"/>
        </w:rPr>
        <w:t>Likewise,</w:t>
      </w:r>
      <w:r w:rsidRPr="00D44766">
        <w:rPr>
          <w:rFonts w:cs="Times New Roman"/>
          <w:lang w:val="en-GB"/>
        </w:rPr>
        <w:t xml:space="preserve"> it can become a source to create a </w:t>
      </w:r>
      <w:r w:rsidR="001203B5" w:rsidRPr="00D44766">
        <w:rPr>
          <w:rFonts w:cs="Times New Roman"/>
          <w:lang w:val="en-GB"/>
        </w:rPr>
        <w:t>competitive advantage in times where products are becoming increasingly indistinguishable</w:t>
      </w:r>
      <w:r w:rsidR="00834F46" w:rsidRPr="00D44766">
        <w:rPr>
          <w:rFonts w:cs="Times New Roman"/>
          <w:lang w:val="en-GB"/>
        </w:rPr>
        <w:t xml:space="preserve"> (</w:t>
      </w:r>
      <w:r w:rsidR="00834F46" w:rsidRPr="00EC331E">
        <w:rPr>
          <w:rFonts w:cs="Times New Roman"/>
          <w:color w:val="00B050"/>
          <w:lang w:val="en-GB"/>
        </w:rPr>
        <w:t>Bhattacharya and Sen, 2004</w:t>
      </w:r>
      <w:r w:rsidR="00834F46" w:rsidRPr="00D44766">
        <w:rPr>
          <w:rFonts w:cs="Times New Roman"/>
          <w:lang w:val="en-GB"/>
        </w:rPr>
        <w:t>)</w:t>
      </w:r>
      <w:r w:rsidRPr="00D44766">
        <w:rPr>
          <w:rFonts w:cs="Times New Roman"/>
          <w:lang w:val="en-GB"/>
        </w:rPr>
        <w:t xml:space="preserve"> as successful and accepted CSR can also be connotated with stronger brand image, increased sales and thus economic benefits</w:t>
      </w:r>
      <w:r w:rsidR="007B5FF7">
        <w:rPr>
          <w:rFonts w:cs="Times New Roman"/>
          <w:lang w:val="en-GB"/>
        </w:rPr>
        <w:t xml:space="preserve">, while equally contributing to the social welfare. </w:t>
      </w:r>
    </w:p>
    <w:p w14:paraId="04CE71F6" w14:textId="0D40CF05" w:rsidR="002150D1" w:rsidRPr="00AE26EB" w:rsidRDefault="00AE26EB" w:rsidP="00AE26EB">
      <w:pPr>
        <w:pStyle w:val="berschrift2"/>
        <w:rPr>
          <w:lang w:val="en-GB"/>
        </w:rPr>
      </w:pPr>
      <w:bookmarkStart w:id="40" w:name="_Toc143330987"/>
      <w:bookmarkStart w:id="41" w:name="_Toc143361654"/>
      <w:r w:rsidRPr="00AE26EB">
        <w:rPr>
          <w:lang w:val="en-GB"/>
        </w:rPr>
        <w:t xml:space="preserve">3.2. </w:t>
      </w:r>
      <w:r w:rsidR="002150D1" w:rsidRPr="00AE26EB">
        <w:rPr>
          <w:lang w:val="en-GB"/>
        </w:rPr>
        <w:t>CSR in Tourism and boundaries of terminology</w:t>
      </w:r>
      <w:bookmarkEnd w:id="40"/>
      <w:bookmarkEnd w:id="41"/>
    </w:p>
    <w:p w14:paraId="42C6E981" w14:textId="08D19DA9" w:rsidR="00C74863" w:rsidRPr="00D44766" w:rsidRDefault="00C74863" w:rsidP="002E26E0">
      <w:pPr>
        <w:contextualSpacing/>
        <w:rPr>
          <w:lang w:val="en-GB"/>
        </w:rPr>
      </w:pPr>
      <w:r w:rsidRPr="00D44766">
        <w:rPr>
          <w:lang w:val="en-GB"/>
        </w:rPr>
        <w:t>Intact ecosystems</w:t>
      </w:r>
      <w:r w:rsidR="00951257" w:rsidRPr="00D44766">
        <w:rPr>
          <w:lang w:val="en-GB"/>
        </w:rPr>
        <w:t xml:space="preserve">, </w:t>
      </w:r>
      <w:r w:rsidRPr="00D44766">
        <w:rPr>
          <w:lang w:val="en-GB"/>
        </w:rPr>
        <w:t xml:space="preserve">nature as well as culture are </w:t>
      </w:r>
      <w:r w:rsidR="00951257" w:rsidRPr="00D44766">
        <w:rPr>
          <w:lang w:val="en-GB"/>
        </w:rPr>
        <w:t xml:space="preserve">amongst </w:t>
      </w:r>
      <w:r w:rsidRPr="00D44766">
        <w:rPr>
          <w:lang w:val="en-GB"/>
        </w:rPr>
        <w:t>the major motivator</w:t>
      </w:r>
      <w:r w:rsidR="00951257" w:rsidRPr="00D44766">
        <w:rPr>
          <w:lang w:val="en-GB"/>
        </w:rPr>
        <w:t>s</w:t>
      </w:r>
      <w:r w:rsidRPr="00D44766">
        <w:rPr>
          <w:lang w:val="en-GB"/>
        </w:rPr>
        <w:t xml:space="preserve"> for tourist</w:t>
      </w:r>
      <w:r w:rsidR="00707AC8">
        <w:rPr>
          <w:lang w:val="en-GB"/>
        </w:rPr>
        <w:t>s</w:t>
      </w:r>
      <w:r w:rsidRPr="00D44766">
        <w:rPr>
          <w:lang w:val="en-GB"/>
        </w:rPr>
        <w:t xml:space="preserve"> to travel to certain destination</w:t>
      </w:r>
      <w:r w:rsidR="0082743C" w:rsidRPr="00D44766">
        <w:rPr>
          <w:lang w:val="en-GB"/>
        </w:rPr>
        <w:t>s</w:t>
      </w:r>
      <w:r w:rsidRPr="00D44766">
        <w:rPr>
          <w:lang w:val="en-GB"/>
        </w:rPr>
        <w:t>. As mentioned in the first chapter already, the</w:t>
      </w:r>
      <w:r w:rsidR="00951257" w:rsidRPr="00D44766">
        <w:rPr>
          <w:lang w:val="en-GB"/>
        </w:rPr>
        <w:t xml:space="preserve"> very</w:t>
      </w:r>
      <w:r w:rsidRPr="00D44766">
        <w:rPr>
          <w:lang w:val="en-GB"/>
        </w:rPr>
        <w:t xml:space="preserve"> same attractions brining tourists into the destination are often extremely negatively </w:t>
      </w:r>
      <w:r w:rsidR="00141396" w:rsidRPr="00D44766">
        <w:rPr>
          <w:lang w:val="en-GB"/>
        </w:rPr>
        <w:t>affected</w:t>
      </w:r>
      <w:r w:rsidRPr="00D44766">
        <w:rPr>
          <w:lang w:val="en-GB"/>
        </w:rPr>
        <w:t xml:space="preserve"> by the tourism flows and eventually deteriorate to a point that they </w:t>
      </w:r>
      <w:r w:rsidR="00E239E1" w:rsidRPr="00D44766">
        <w:rPr>
          <w:lang w:val="en-GB"/>
        </w:rPr>
        <w:t>do not</w:t>
      </w:r>
      <w:r w:rsidRPr="00D44766">
        <w:rPr>
          <w:lang w:val="en-GB"/>
        </w:rPr>
        <w:t xml:space="preserve"> exert a pull anymore for future tourists. </w:t>
      </w:r>
      <w:r w:rsidR="00951257" w:rsidRPr="00D44766">
        <w:rPr>
          <w:lang w:val="en-GB"/>
        </w:rPr>
        <w:t xml:space="preserve">That seems to be the inevitable paradox of the current tourism growth trajectory. </w:t>
      </w:r>
      <w:r w:rsidRPr="00D44766">
        <w:rPr>
          <w:lang w:val="en-GB"/>
        </w:rPr>
        <w:t xml:space="preserve">Impacts of tourism don’t only have the ability to massively deteriorate </w:t>
      </w:r>
      <w:r w:rsidR="0016466F" w:rsidRPr="00D44766">
        <w:rPr>
          <w:lang w:val="en-GB"/>
        </w:rPr>
        <w:t xml:space="preserve">natural </w:t>
      </w:r>
      <w:r w:rsidRPr="00D44766">
        <w:rPr>
          <w:lang w:val="en-GB"/>
        </w:rPr>
        <w:t>ecosystems</w:t>
      </w:r>
      <w:r w:rsidR="0016466F" w:rsidRPr="00D44766">
        <w:rPr>
          <w:lang w:val="en-GB"/>
        </w:rPr>
        <w:t xml:space="preserve"> and </w:t>
      </w:r>
      <w:r w:rsidR="00EB7E5F" w:rsidRPr="00D44766">
        <w:rPr>
          <w:lang w:val="en-GB"/>
        </w:rPr>
        <w:t>natural surroundings,</w:t>
      </w:r>
      <w:r w:rsidRPr="00D44766">
        <w:rPr>
          <w:lang w:val="en-GB"/>
        </w:rPr>
        <w:t xml:space="preserve"> but also to strongly </w:t>
      </w:r>
      <w:r w:rsidR="0016466F" w:rsidRPr="00D44766">
        <w:rPr>
          <w:lang w:val="en-GB"/>
        </w:rPr>
        <w:t>a</w:t>
      </w:r>
      <w:r w:rsidRPr="00D44766">
        <w:rPr>
          <w:lang w:val="en-GB"/>
        </w:rPr>
        <w:t>ffect the local society and inevitably also the eco</w:t>
      </w:r>
      <w:r w:rsidR="00B8235E">
        <w:rPr>
          <w:lang w:val="en-GB"/>
        </w:rPr>
        <w:t>-</w:t>
      </w:r>
      <w:r w:rsidRPr="00D44766">
        <w:rPr>
          <w:lang w:val="en-GB"/>
        </w:rPr>
        <w:t>nomy – all the three factors being the pillars of sustainability or the triple bottom line (</w:t>
      </w:r>
      <w:r w:rsidRPr="00EC331E">
        <w:rPr>
          <w:color w:val="00B050"/>
          <w:lang w:val="en-GB"/>
        </w:rPr>
        <w:t>Soratana et al., 2021</w:t>
      </w:r>
      <w:r w:rsidRPr="00D44766">
        <w:rPr>
          <w:lang w:val="en-GB"/>
        </w:rPr>
        <w:t xml:space="preserve">). </w:t>
      </w:r>
      <w:r w:rsidR="00C336F4">
        <w:rPr>
          <w:lang w:val="en-GB"/>
        </w:rPr>
        <w:t>Therefore, the relevance of CSR activities has become more popular (</w:t>
      </w:r>
      <w:r w:rsidR="00C336F4" w:rsidRPr="00121B67">
        <w:rPr>
          <w:color w:val="70AD47" w:themeColor="accent6"/>
          <w:lang w:val="en-GB"/>
        </w:rPr>
        <w:t>Madanaguli et al., 2021</w:t>
      </w:r>
      <w:r w:rsidR="00C336F4">
        <w:rPr>
          <w:lang w:val="en-GB"/>
        </w:rPr>
        <w:t>).</w:t>
      </w:r>
    </w:p>
    <w:p w14:paraId="3CDA15AC" w14:textId="253D8E3D" w:rsidR="00EB7E5F" w:rsidRDefault="008420F8" w:rsidP="00880B21">
      <w:pPr>
        <w:contextualSpacing/>
        <w:rPr>
          <w:lang w:val="en-GB"/>
        </w:rPr>
      </w:pPr>
      <w:r w:rsidRPr="00D44766">
        <w:rPr>
          <w:lang w:val="en-GB"/>
        </w:rPr>
        <w:lastRenderedPageBreak/>
        <w:t>When looking at the tourism industry there are several terminologies to distinguish different forms of tourism types – but</w:t>
      </w:r>
      <w:r w:rsidR="00951257" w:rsidRPr="00D44766">
        <w:rPr>
          <w:lang w:val="en-GB"/>
        </w:rPr>
        <w:t xml:space="preserve"> they are all focused on</w:t>
      </w:r>
      <w:r w:rsidRPr="00D44766">
        <w:rPr>
          <w:lang w:val="en-GB"/>
        </w:rPr>
        <w:t xml:space="preserve"> highlight</w:t>
      </w:r>
      <w:r w:rsidR="00951257" w:rsidRPr="00D44766">
        <w:rPr>
          <w:lang w:val="en-GB"/>
        </w:rPr>
        <w:t>ing</w:t>
      </w:r>
      <w:r w:rsidRPr="00D44766">
        <w:rPr>
          <w:lang w:val="en-GB"/>
        </w:rPr>
        <w:t xml:space="preserve"> the fact that </w:t>
      </w:r>
      <w:r w:rsidR="00E239E1" w:rsidRPr="00D44766">
        <w:rPr>
          <w:lang w:val="en-GB"/>
        </w:rPr>
        <w:t>it is</w:t>
      </w:r>
      <w:r w:rsidRPr="00D44766">
        <w:rPr>
          <w:lang w:val="en-GB"/>
        </w:rPr>
        <w:t xml:space="preserve"> not the mass tourism</w:t>
      </w:r>
      <w:r w:rsidR="00951257" w:rsidRPr="00D44766">
        <w:rPr>
          <w:lang w:val="en-GB"/>
        </w:rPr>
        <w:t>, packaged holiday</w:t>
      </w:r>
      <w:r w:rsidR="00707AC8">
        <w:rPr>
          <w:lang w:val="en-GB"/>
        </w:rPr>
        <w:t>-type</w:t>
      </w:r>
      <w:r w:rsidR="00951257" w:rsidRPr="00D44766">
        <w:rPr>
          <w:lang w:val="en-GB"/>
        </w:rPr>
        <w:t>, which has been discredited</w:t>
      </w:r>
      <w:r w:rsidRPr="00D44766">
        <w:rPr>
          <w:lang w:val="en-GB"/>
        </w:rPr>
        <w:t>.</w:t>
      </w:r>
      <w:r w:rsidR="00951257" w:rsidRPr="00D44766">
        <w:rPr>
          <w:lang w:val="en-GB"/>
        </w:rPr>
        <w:t xml:space="preserve"> No tourist really wants to admit </w:t>
      </w:r>
      <w:r w:rsidR="00E239E1" w:rsidRPr="00D44766">
        <w:rPr>
          <w:lang w:val="en-GB"/>
        </w:rPr>
        <w:t>being</w:t>
      </w:r>
      <w:r w:rsidR="00951257" w:rsidRPr="00D44766">
        <w:rPr>
          <w:lang w:val="en-GB"/>
        </w:rPr>
        <w:t xml:space="preserve"> part of the phenomenon of mass-tourism </w:t>
      </w:r>
      <w:r w:rsidR="0082743C" w:rsidRPr="00D44766">
        <w:rPr>
          <w:lang w:val="en-GB"/>
        </w:rPr>
        <w:t xml:space="preserve">anymore </w:t>
      </w:r>
      <w:r w:rsidR="00951257" w:rsidRPr="00D44766">
        <w:rPr>
          <w:lang w:val="en-GB"/>
        </w:rPr>
        <w:t xml:space="preserve">with all the negative images attached to it. </w:t>
      </w:r>
      <w:r w:rsidRPr="00D44766">
        <w:rPr>
          <w:lang w:val="en-GB"/>
        </w:rPr>
        <w:t>Terms such as sustainable tourism, eco-tourism, responsible tourism, ethical tourism, slow tourism are all popping up occasionally but are mostly just fringe phenomena.</w:t>
      </w:r>
      <w:r w:rsidR="00C74863" w:rsidRPr="00D44766">
        <w:rPr>
          <w:lang w:val="en-GB"/>
        </w:rPr>
        <w:t xml:space="preserve"> </w:t>
      </w:r>
      <w:r w:rsidRPr="00D44766">
        <w:rPr>
          <w:lang w:val="en-GB"/>
        </w:rPr>
        <w:t xml:space="preserve">In </w:t>
      </w:r>
      <w:r w:rsidR="00E239E1" w:rsidRPr="00D44766">
        <w:rPr>
          <w:lang w:val="en-GB"/>
        </w:rPr>
        <w:t>general,</w:t>
      </w:r>
      <w:r w:rsidRPr="00D44766">
        <w:rPr>
          <w:lang w:val="en-GB"/>
        </w:rPr>
        <w:t xml:space="preserve"> though, the buzzword sustainability has long made its entrance into the industry. The terms most commonly in the industry itself would be sustainable- and eco-tourism. Often the terms are used synonymously and the difference between the two is probably know</w:t>
      </w:r>
      <w:r w:rsidR="0016466F" w:rsidRPr="00D44766">
        <w:rPr>
          <w:lang w:val="en-GB"/>
        </w:rPr>
        <w:t>n</w:t>
      </w:r>
      <w:r w:rsidRPr="00D44766">
        <w:rPr>
          <w:lang w:val="en-GB"/>
        </w:rPr>
        <w:t xml:space="preserve"> to only a selected audience. </w:t>
      </w:r>
      <w:r w:rsidR="00C74863" w:rsidRPr="00EC331E">
        <w:rPr>
          <w:color w:val="00B050"/>
          <w:lang w:val="en-GB"/>
        </w:rPr>
        <w:t>Neto (2003)</w:t>
      </w:r>
      <w:r w:rsidRPr="00D44766">
        <w:rPr>
          <w:lang w:val="en-GB"/>
        </w:rPr>
        <w:t xml:space="preserve"> </w:t>
      </w:r>
      <w:r w:rsidR="002A6883">
        <w:rPr>
          <w:lang w:val="en-GB"/>
        </w:rPr>
        <w:t xml:space="preserve">tells the two apart based on </w:t>
      </w:r>
      <w:r w:rsidR="00C74863" w:rsidRPr="00D44766">
        <w:rPr>
          <w:lang w:val="en-GB"/>
        </w:rPr>
        <w:t xml:space="preserve">the focus </w:t>
      </w:r>
      <w:r w:rsidR="0016466F" w:rsidRPr="00D44766">
        <w:rPr>
          <w:lang w:val="en-GB"/>
        </w:rPr>
        <w:t xml:space="preserve">which is set in </w:t>
      </w:r>
      <w:r w:rsidR="002A6883">
        <w:rPr>
          <w:lang w:val="en-GB"/>
        </w:rPr>
        <w:t xml:space="preserve">each </w:t>
      </w:r>
      <w:r w:rsidR="00707AC8">
        <w:rPr>
          <w:lang w:val="en-GB"/>
        </w:rPr>
        <w:t>o</w:t>
      </w:r>
      <w:r w:rsidR="002A6883">
        <w:rPr>
          <w:lang w:val="en-GB"/>
        </w:rPr>
        <w:t xml:space="preserve">f the </w:t>
      </w:r>
      <w:r w:rsidR="0016466F" w:rsidRPr="00D44766">
        <w:rPr>
          <w:lang w:val="en-GB"/>
        </w:rPr>
        <w:t>concepts</w:t>
      </w:r>
      <w:r w:rsidR="00C74863" w:rsidRPr="00D44766">
        <w:rPr>
          <w:lang w:val="en-GB"/>
        </w:rPr>
        <w:t>– eco-tourism is a nature-based tourism form with the aim of educating trave</w:t>
      </w:r>
      <w:r w:rsidR="002A6883">
        <w:rPr>
          <w:lang w:val="en-GB"/>
        </w:rPr>
        <w:t>l</w:t>
      </w:r>
      <w:r w:rsidR="00C74863" w:rsidRPr="00D44766">
        <w:rPr>
          <w:lang w:val="en-GB"/>
        </w:rPr>
        <w:t>lers, whereas sustainable tourism has the goal to include sustainability into the tourism</w:t>
      </w:r>
      <w:r w:rsidR="00707AC8">
        <w:rPr>
          <w:lang w:val="en-GB"/>
        </w:rPr>
        <w:t xml:space="preserve"> </w:t>
      </w:r>
      <w:r w:rsidR="00C74863" w:rsidRPr="00D44766">
        <w:rPr>
          <w:lang w:val="en-GB"/>
        </w:rPr>
        <w:t xml:space="preserve">supply chain. </w:t>
      </w:r>
      <w:r w:rsidR="0016466F" w:rsidRPr="00D44766">
        <w:rPr>
          <w:lang w:val="en-GB"/>
        </w:rPr>
        <w:t xml:space="preserve">In reference to sustainable tourism, </w:t>
      </w:r>
      <w:r w:rsidR="0016466F" w:rsidRPr="00EC331E">
        <w:rPr>
          <w:color w:val="00B050"/>
          <w:lang w:val="en-GB"/>
        </w:rPr>
        <w:t>Sipilä</w:t>
      </w:r>
      <w:r w:rsidR="00880B21">
        <w:rPr>
          <w:color w:val="00B050"/>
          <w:lang w:val="en-GB"/>
        </w:rPr>
        <w:t xml:space="preserve"> et al</w:t>
      </w:r>
      <w:r w:rsidR="0016466F" w:rsidRPr="00EC331E">
        <w:rPr>
          <w:color w:val="00B050"/>
          <w:lang w:val="en-GB"/>
        </w:rPr>
        <w:t>. (2020)</w:t>
      </w:r>
      <w:r w:rsidR="0016466F" w:rsidRPr="00D44766">
        <w:rPr>
          <w:lang w:val="en-GB"/>
        </w:rPr>
        <w:t xml:space="preserve"> point out, that sustainability is often tried to be achieved through CSR activities. </w:t>
      </w:r>
      <w:r w:rsidR="00737428" w:rsidRPr="00D44766">
        <w:rPr>
          <w:lang w:val="en-GB"/>
        </w:rPr>
        <w:t xml:space="preserve">In recent </w:t>
      </w:r>
      <w:r w:rsidR="00E239E1" w:rsidRPr="00D44766">
        <w:rPr>
          <w:lang w:val="en-GB"/>
        </w:rPr>
        <w:t>years,</w:t>
      </w:r>
      <w:r w:rsidR="00737428" w:rsidRPr="00D44766">
        <w:rPr>
          <w:lang w:val="en-GB"/>
        </w:rPr>
        <w:t xml:space="preserve"> the concept of responsible tourism was introduced an</w:t>
      </w:r>
      <w:r w:rsidR="00EB7E5F" w:rsidRPr="00D44766">
        <w:rPr>
          <w:lang w:val="en-GB"/>
        </w:rPr>
        <w:t>d</w:t>
      </w:r>
      <w:r w:rsidR="00737428" w:rsidRPr="00D44766">
        <w:rPr>
          <w:lang w:val="en-GB"/>
        </w:rPr>
        <w:t xml:space="preserve"> discussed </w:t>
      </w:r>
      <w:r w:rsidR="00EB7E5F" w:rsidRPr="00D44766">
        <w:rPr>
          <w:lang w:val="en-GB"/>
        </w:rPr>
        <w:t xml:space="preserve">to the extend </w:t>
      </w:r>
      <w:r w:rsidR="00737428" w:rsidRPr="00D44766">
        <w:rPr>
          <w:lang w:val="en-GB"/>
        </w:rPr>
        <w:t>if this concept is superior to sustainable tourism (</w:t>
      </w:r>
      <w:r w:rsidR="00737428" w:rsidRPr="00EC331E">
        <w:rPr>
          <w:color w:val="00B050"/>
          <w:lang w:val="en-GB"/>
        </w:rPr>
        <w:t>Jamal</w:t>
      </w:r>
      <w:r w:rsidR="00EC331E" w:rsidRPr="00EC331E">
        <w:rPr>
          <w:color w:val="00B050"/>
          <w:lang w:val="en-GB"/>
        </w:rPr>
        <w:t>, Camargo and Wilson</w:t>
      </w:r>
      <w:r w:rsidR="00737428" w:rsidRPr="00EC331E">
        <w:rPr>
          <w:color w:val="00B050"/>
          <w:lang w:val="en-GB"/>
        </w:rPr>
        <w:t>., 2013</w:t>
      </w:r>
      <w:r w:rsidR="00737428" w:rsidRPr="00D44766">
        <w:rPr>
          <w:lang w:val="en-GB"/>
        </w:rPr>
        <w:t>). However, whether responsible or sustainable tourism</w:t>
      </w:r>
      <w:r w:rsidR="00EB7E5F" w:rsidRPr="00D44766">
        <w:rPr>
          <w:lang w:val="en-GB"/>
        </w:rPr>
        <w:t>,</w:t>
      </w:r>
      <w:r w:rsidR="00737428" w:rsidRPr="00D44766">
        <w:rPr>
          <w:lang w:val="en-GB"/>
        </w:rPr>
        <w:t xml:space="preserve"> issues like who benefits from tourism and consequently how the benefits </w:t>
      </w:r>
      <w:r w:rsidR="002A6883">
        <w:rPr>
          <w:lang w:val="en-GB"/>
        </w:rPr>
        <w:t xml:space="preserve">can </w:t>
      </w:r>
      <w:r w:rsidR="00737428" w:rsidRPr="00D44766">
        <w:rPr>
          <w:lang w:val="en-GB"/>
        </w:rPr>
        <w:t xml:space="preserve">be distributed equally have still been left untouched </w:t>
      </w:r>
      <w:r w:rsidR="00737428" w:rsidRPr="00EC331E">
        <w:rPr>
          <w:color w:val="00B050"/>
          <w:lang w:val="en-GB"/>
        </w:rPr>
        <w:t>(Higgin-Desbiolles, 2018</w:t>
      </w:r>
      <w:r w:rsidR="00737428" w:rsidRPr="00D44766">
        <w:rPr>
          <w:lang w:val="en-GB"/>
        </w:rPr>
        <w:t xml:space="preserve">). </w:t>
      </w:r>
      <w:r w:rsidR="00E96FF9" w:rsidRPr="00D44766">
        <w:rPr>
          <w:lang w:val="en-GB"/>
        </w:rPr>
        <w:t>Investigating further into the concept of responsible tourism; it fails to acknowledge that the current travel and tourism structures are largely set up unjustly and many profits are going to shareholders outside of the destination (</w:t>
      </w:r>
      <w:r w:rsidR="00E96FF9" w:rsidRPr="00E76955">
        <w:rPr>
          <w:color w:val="00B050"/>
          <w:lang w:val="en-GB"/>
        </w:rPr>
        <w:t>Higgins-Desbiolles, 2020a</w:t>
      </w:r>
      <w:r w:rsidR="00E96FF9" w:rsidRPr="00D44766">
        <w:rPr>
          <w:lang w:val="en-GB"/>
        </w:rPr>
        <w:t xml:space="preserve">). </w:t>
      </w:r>
      <w:r w:rsidR="00401F61" w:rsidRPr="00E76955">
        <w:rPr>
          <w:color w:val="00B050"/>
          <w:lang w:val="en-GB"/>
        </w:rPr>
        <w:t>Van Wijk and Persoon (2006</w:t>
      </w:r>
      <w:r w:rsidR="00401F61" w:rsidRPr="00D44766">
        <w:rPr>
          <w:lang w:val="en-GB"/>
        </w:rPr>
        <w:t>) state that on average 50% of the money spent by tourist</w:t>
      </w:r>
      <w:r w:rsidR="002A6883">
        <w:rPr>
          <w:lang w:val="en-GB"/>
        </w:rPr>
        <w:t>s</w:t>
      </w:r>
      <w:r w:rsidR="00401F61" w:rsidRPr="00D44766">
        <w:rPr>
          <w:lang w:val="en-GB"/>
        </w:rPr>
        <w:t xml:space="preserve"> in developing countries is not retained in the </w:t>
      </w:r>
      <w:r w:rsidR="00EB7E5F" w:rsidRPr="00D44766">
        <w:rPr>
          <w:lang w:val="en-GB"/>
        </w:rPr>
        <w:t xml:space="preserve">respective </w:t>
      </w:r>
      <w:r w:rsidR="00401F61" w:rsidRPr="00D44766">
        <w:rPr>
          <w:lang w:val="en-GB"/>
        </w:rPr>
        <w:t>country as goods, services and staff are not local</w:t>
      </w:r>
      <w:r w:rsidR="00EB7E5F" w:rsidRPr="00D44766">
        <w:rPr>
          <w:lang w:val="en-GB"/>
        </w:rPr>
        <w:t xml:space="preserve"> but</w:t>
      </w:r>
      <w:r w:rsidR="00401F61" w:rsidRPr="00D44766">
        <w:rPr>
          <w:lang w:val="en-GB"/>
        </w:rPr>
        <w:t xml:space="preserve"> imported. </w:t>
      </w:r>
      <w:r w:rsidR="00E96FF9" w:rsidRPr="00D44766">
        <w:rPr>
          <w:lang w:val="en-GB"/>
        </w:rPr>
        <w:t xml:space="preserve">As </w:t>
      </w:r>
      <w:r w:rsidR="00E96FF9" w:rsidRPr="00E76955">
        <w:rPr>
          <w:color w:val="00B050"/>
          <w:lang w:val="en-GB"/>
        </w:rPr>
        <w:t>Dinan and Sargeant (2000)</w:t>
      </w:r>
      <w:r w:rsidR="00E96FF9" w:rsidRPr="00D44766">
        <w:rPr>
          <w:lang w:val="en-GB"/>
        </w:rPr>
        <w:t xml:space="preserve"> assess the principles of sustainable tourism find their root in economic, environmental and social equity and ‘developm</w:t>
      </w:r>
      <w:r w:rsidR="009B18B5" w:rsidRPr="00D44766">
        <w:rPr>
          <w:lang w:val="en-GB"/>
        </w:rPr>
        <w:t>ent of sustainable tourism should be guided by an integrated planning process based on economic, sociocultural and environmental goals, the use of carrying capacity or other techniques for quantifying the limitations of the tourist resources, and a transparent and participative decision-making process’ (</w:t>
      </w:r>
      <w:r w:rsidR="009B18B5" w:rsidRPr="00E76955">
        <w:rPr>
          <w:color w:val="00B050"/>
          <w:lang w:val="en-GB"/>
        </w:rPr>
        <w:t>Ayuso, 2007, p. 144).</w:t>
      </w:r>
      <w:r w:rsidR="009B18B5" w:rsidRPr="00D44766">
        <w:rPr>
          <w:lang w:val="en-GB"/>
        </w:rPr>
        <w:t xml:space="preserve"> </w:t>
      </w:r>
      <w:r w:rsidR="00D9035A" w:rsidRPr="00D44766">
        <w:rPr>
          <w:lang w:val="en-GB"/>
        </w:rPr>
        <w:t xml:space="preserve">One of the first academics differentiating between sustainable- and non-sustainable tourism was </w:t>
      </w:r>
      <w:r w:rsidR="00D9035A" w:rsidRPr="00E76955">
        <w:rPr>
          <w:color w:val="00B050"/>
          <w:lang w:val="en-GB"/>
        </w:rPr>
        <w:t>Butler (1999</w:t>
      </w:r>
      <w:r w:rsidR="00D9035A" w:rsidRPr="00D44766">
        <w:rPr>
          <w:lang w:val="en-GB"/>
        </w:rPr>
        <w:t>) – sustainable tourism has the ability to ‘maintain its viability in an area for an indefinite period of time’ (1999,p. 36) and he further explains that sustainable tourism (development) ‘does not degrade or alter environment (human and physical) in which it exists to such a degree that it prohibits the successful development, and wellbeing of other activities and processes</w:t>
      </w:r>
      <w:r w:rsidR="00E76955">
        <w:rPr>
          <w:lang w:val="en-GB"/>
        </w:rPr>
        <w:t>’</w:t>
      </w:r>
      <w:r w:rsidR="00D9035A" w:rsidRPr="00D44766">
        <w:rPr>
          <w:lang w:val="en-GB"/>
        </w:rPr>
        <w:t xml:space="preserve"> (</w:t>
      </w:r>
      <w:r w:rsidR="00D9035A" w:rsidRPr="00E76955">
        <w:rPr>
          <w:color w:val="00B050"/>
          <w:lang w:val="en-GB"/>
        </w:rPr>
        <w:t>Butler, 1999, p. 35</w:t>
      </w:r>
      <w:r w:rsidR="00D9035A" w:rsidRPr="00D44766">
        <w:rPr>
          <w:lang w:val="en-GB"/>
        </w:rPr>
        <w:t xml:space="preserve">). </w:t>
      </w:r>
      <w:r w:rsidR="00EB7E5F" w:rsidRPr="00D44766">
        <w:rPr>
          <w:lang w:val="en-GB"/>
        </w:rPr>
        <w:t xml:space="preserve">Despite these academic discussions on different </w:t>
      </w:r>
      <w:r w:rsidR="00EB7E5F" w:rsidRPr="00D44766">
        <w:rPr>
          <w:lang w:val="en-GB"/>
        </w:rPr>
        <w:lastRenderedPageBreak/>
        <w:t xml:space="preserve">terms for slightly different approaches and concepts to tourism; </w:t>
      </w:r>
      <w:r w:rsidR="00E239E1" w:rsidRPr="00D44766">
        <w:rPr>
          <w:lang w:val="en-GB"/>
        </w:rPr>
        <w:t>these discussions</w:t>
      </w:r>
      <w:r w:rsidR="00EB7E5F" w:rsidRPr="00D44766">
        <w:rPr>
          <w:lang w:val="en-GB"/>
        </w:rPr>
        <w:t xml:space="preserve"> are hardly held in the day-to-day tourism business. As above mentioned already; within the industry most discussion evolve around the term of “sustainable tourism” and if there actually is a need to include this into daily business practices and short-/long-term business strategies and if so, how CSR and sustainability can be integrated into the business.</w:t>
      </w:r>
      <w:r w:rsidR="009B18B5" w:rsidRPr="00D44766">
        <w:rPr>
          <w:lang w:val="en-GB"/>
        </w:rPr>
        <w:t xml:space="preserve"> </w:t>
      </w:r>
      <w:r w:rsidR="00E453DC">
        <w:rPr>
          <w:lang w:val="en-GB"/>
        </w:rPr>
        <w:t xml:space="preserve">A </w:t>
      </w:r>
      <w:r w:rsidR="00E453DC" w:rsidRPr="00D44766">
        <w:rPr>
          <w:lang w:val="en-GB"/>
        </w:rPr>
        <w:t>framework for sustainable tourism was developed and institutions like the UNWTO along with the Rainforest Alliance, the United Nations Environment Programme (UNEP), the United Nations Foundation established the Tourism Sustainability Council who is implementing non-mandatory Global Sustainable Tourism Criteria (GSTC) (</w:t>
      </w:r>
      <w:r w:rsidR="00E453DC" w:rsidRPr="00E76955">
        <w:rPr>
          <w:color w:val="00B050"/>
          <w:lang w:val="en-GB"/>
        </w:rPr>
        <w:t>Jarvis, Weeden and Simcock, 2010)</w:t>
      </w:r>
      <w:r w:rsidR="00E453DC" w:rsidRPr="00D44766">
        <w:rPr>
          <w:lang w:val="en-GB"/>
        </w:rPr>
        <w:t xml:space="preserve"> and which was already referred to in the very first chapter. GSTC is a platform for participants of the tourism industry (mainly it appeals to hotels, TOs and destinations) to learn about sustainable practices but also offers the chance to get a certified actor in the tourism industry. GSTC suggests a selected choice of certification bodies – e.g., Travelife: ‘The Travelife Standard for Tour Operators &amp; Travel Agents integrates both management and performance criteria and is based on leading international sustainability and CSR standards and guidelines.’ </w:t>
      </w:r>
      <w:r w:rsidR="00E453DC" w:rsidRPr="00B82CD1">
        <w:rPr>
          <w:color w:val="70AD47" w:themeColor="accent6"/>
          <w:lang w:val="en-GB"/>
        </w:rPr>
        <w:t>(GSTC, 2023b</w:t>
      </w:r>
      <w:r w:rsidR="00E453DC">
        <w:rPr>
          <w:lang w:val="en-GB"/>
        </w:rPr>
        <w:t>)</w:t>
      </w:r>
      <w:r w:rsidR="00E453DC" w:rsidRPr="00D44766">
        <w:rPr>
          <w:lang w:val="en-GB"/>
        </w:rPr>
        <w:t>. Certification and membership are bound to a fee, which varies considerably between the different certification agencies.</w:t>
      </w:r>
      <w:r w:rsidR="00E453DC" w:rsidRPr="00E453DC">
        <w:rPr>
          <w:lang w:val="en-GB"/>
        </w:rPr>
        <w:t xml:space="preserve"> </w:t>
      </w:r>
      <w:r w:rsidR="00E453DC" w:rsidRPr="00D44766">
        <w:rPr>
          <w:lang w:val="en-GB"/>
        </w:rPr>
        <w:t xml:space="preserve">The goal: to establish sustainable tourism practices in the industry in all dimensions </w:t>
      </w:r>
      <w:r w:rsidR="00000000">
        <w:rPr>
          <w:noProof/>
        </w:rPr>
        <w:pict w14:anchorId="3D0A44D9">
          <v:shape id="_x0000_s2071" type="#_x0000_t202" style="position:absolute;left:0;text-align:left;margin-left:-.75pt;margin-top:314.95pt;width:454.5pt;height:.05pt;z-index:251685376;mso-position-horizontal-relative:text;mso-position-vertical-relative:text" stroked="f">
            <v:textbox style="mso-fit-shape-to-text:t" inset="0,0,0,0">
              <w:txbxContent>
                <w:p w14:paraId="4E001A9D" w14:textId="5BD2D4CA" w:rsidR="00E453DC" w:rsidRPr="00E453DC" w:rsidRDefault="00E453DC" w:rsidP="00E453DC">
                  <w:pPr>
                    <w:pStyle w:val="Beschriftung"/>
                    <w:jc w:val="center"/>
                    <w:rPr>
                      <w:sz w:val="24"/>
                      <w:lang w:val="en-GB"/>
                    </w:rPr>
                  </w:pPr>
                  <w:r w:rsidRPr="00E453DC">
                    <w:rPr>
                      <w:lang w:val="en-GB"/>
                    </w:rPr>
                    <w:t xml:space="preserve">Figure </w:t>
                  </w:r>
                  <w:r>
                    <w:fldChar w:fldCharType="begin"/>
                  </w:r>
                  <w:r w:rsidRPr="00E453DC">
                    <w:rPr>
                      <w:lang w:val="en-GB"/>
                    </w:rPr>
                    <w:instrText xml:space="preserve"> SEQ Figure \* ARABIC </w:instrText>
                  </w:r>
                  <w:r>
                    <w:fldChar w:fldCharType="separate"/>
                  </w:r>
                  <w:r w:rsidR="00E81CC9">
                    <w:rPr>
                      <w:noProof/>
                      <w:lang w:val="en-GB"/>
                    </w:rPr>
                    <w:t>6</w:t>
                  </w:r>
                  <w:r>
                    <w:fldChar w:fldCharType="end"/>
                  </w:r>
                  <w:r w:rsidRPr="00E453DC">
                    <w:rPr>
                      <w:lang w:val="en-GB"/>
                    </w:rPr>
                    <w:t>: Dimensions of Sustainable Tourism (Dredge and Jenkins, 2008)</w:t>
                  </w:r>
                </w:p>
              </w:txbxContent>
            </v:textbox>
            <w10:wrap type="square"/>
          </v:shape>
        </w:pict>
      </w:r>
      <w:r w:rsidR="00E453DC">
        <w:rPr>
          <w:noProof/>
          <w:lang w:val="en-GB"/>
        </w:rPr>
        <w:drawing>
          <wp:anchor distT="0" distB="0" distL="114300" distR="114300" simplePos="0" relativeHeight="251666944" behindDoc="0" locked="0" layoutInCell="1" allowOverlap="1" wp14:anchorId="212D96E9" wp14:editId="10BFE963">
            <wp:simplePos x="0" y="0"/>
            <wp:positionH relativeFrom="margin">
              <wp:posOffset>-9525</wp:posOffset>
            </wp:positionH>
            <wp:positionV relativeFrom="margin">
              <wp:posOffset>555312</wp:posOffset>
            </wp:positionV>
            <wp:extent cx="5772150" cy="3387725"/>
            <wp:effectExtent l="0" t="0" r="0" b="0"/>
            <wp:wrapSquare wrapText="bothSides"/>
            <wp:docPr id="267555529" name="Grafik 6" descr="Ein Bild, das Dreieck,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555529" name="Grafik 6" descr="Ein Bild, das Dreieck, Reihe enthält.&#10;&#10;Automatisch generierte Beschreibu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72150" cy="3387725"/>
                    </a:xfrm>
                    <a:prstGeom prst="rect">
                      <a:avLst/>
                    </a:prstGeom>
                  </pic:spPr>
                </pic:pic>
              </a:graphicData>
            </a:graphic>
            <wp14:sizeRelH relativeFrom="margin">
              <wp14:pctWidth>0</wp14:pctWidth>
            </wp14:sizeRelH>
            <wp14:sizeRelV relativeFrom="margin">
              <wp14:pctHeight>0</wp14:pctHeight>
            </wp14:sizeRelV>
          </wp:anchor>
        </w:drawing>
      </w:r>
      <w:r w:rsidR="00E453DC" w:rsidRPr="00D44766">
        <w:rPr>
          <w:lang w:val="en-GB"/>
        </w:rPr>
        <w:t xml:space="preserve">as shown </w:t>
      </w:r>
      <w:r w:rsidR="00E453DC">
        <w:rPr>
          <w:lang w:val="en-GB"/>
        </w:rPr>
        <w:t>in the following</w:t>
      </w:r>
      <w:r w:rsidR="00E453DC" w:rsidRPr="00D44766">
        <w:rPr>
          <w:lang w:val="en-GB"/>
        </w:rPr>
        <w:t>:</w:t>
      </w:r>
    </w:p>
    <w:p w14:paraId="1BB85893" w14:textId="126E7CAD" w:rsidR="00A61B4D" w:rsidRPr="00D44766" w:rsidRDefault="009A43A8" w:rsidP="009D5552">
      <w:pPr>
        <w:contextualSpacing/>
        <w:rPr>
          <w:lang w:val="en-GB"/>
        </w:rPr>
      </w:pPr>
      <w:r w:rsidRPr="00D44766">
        <w:rPr>
          <w:lang w:val="en-GB"/>
        </w:rPr>
        <w:t>As seen from the above</w:t>
      </w:r>
      <w:r w:rsidR="009D5552" w:rsidRPr="00D44766">
        <w:rPr>
          <w:lang w:val="en-GB"/>
        </w:rPr>
        <w:t>,</w:t>
      </w:r>
      <w:r w:rsidRPr="00D44766">
        <w:rPr>
          <w:lang w:val="en-GB"/>
        </w:rPr>
        <w:t xml:space="preserve"> CSR and sustainability as terms are used interchangeably throughout the field of tourism</w:t>
      </w:r>
      <w:r w:rsidR="006E5CEA" w:rsidRPr="00D44766">
        <w:rPr>
          <w:lang w:val="en-GB"/>
        </w:rPr>
        <w:t xml:space="preserve"> (</w:t>
      </w:r>
      <w:r w:rsidR="006E5CEA" w:rsidRPr="004C73FB">
        <w:rPr>
          <w:color w:val="00B050"/>
          <w:lang w:val="en-GB"/>
        </w:rPr>
        <w:t>van Wijk and Persoon, 2006</w:t>
      </w:r>
      <w:r w:rsidR="006E5CEA" w:rsidRPr="00D44766">
        <w:rPr>
          <w:lang w:val="en-GB"/>
        </w:rPr>
        <w:t>)</w:t>
      </w:r>
      <w:r w:rsidRPr="00D44766">
        <w:rPr>
          <w:lang w:val="en-GB"/>
        </w:rPr>
        <w:t xml:space="preserve"> whereby the reference to sus</w:t>
      </w:r>
      <w:r w:rsidRPr="00D44766">
        <w:rPr>
          <w:lang w:val="en-GB"/>
        </w:rPr>
        <w:lastRenderedPageBreak/>
        <w:t>tainability is more common than CSR. CSR can be a valuable tool to increase sustainability throughout the industry (</w:t>
      </w:r>
      <w:r w:rsidRPr="004C73FB">
        <w:rPr>
          <w:color w:val="00B050"/>
          <w:lang w:val="en-GB"/>
        </w:rPr>
        <w:t>Font and Lynes, 2018</w:t>
      </w:r>
      <w:r w:rsidRPr="00D44766">
        <w:rPr>
          <w:lang w:val="en-GB"/>
        </w:rPr>
        <w:t>)</w:t>
      </w:r>
      <w:r w:rsidR="00382C0C" w:rsidRPr="00D44766">
        <w:rPr>
          <w:lang w:val="en-GB"/>
        </w:rPr>
        <w:t xml:space="preserve">. </w:t>
      </w:r>
      <w:r w:rsidR="00A61B4D" w:rsidRPr="00D44766">
        <w:rPr>
          <w:lang w:val="en-GB"/>
        </w:rPr>
        <w:t>As with the initiatives of the GSTC, there are more and more initiatives to increase CSR activities in the industry. However, c</w:t>
      </w:r>
      <w:r w:rsidR="00A61B4D" w:rsidRPr="00D44766">
        <w:rPr>
          <w:rFonts w:cs="Times New Roman"/>
          <w:lang w:val="en-GB"/>
        </w:rPr>
        <w:t xml:space="preserve">ircling back to the SDGs, which are supposed to be supported through sustainable tourism development and hence also CSR – </w:t>
      </w:r>
      <w:r w:rsidR="00A61B4D" w:rsidRPr="004C73FB">
        <w:rPr>
          <w:rFonts w:cs="Times New Roman"/>
          <w:color w:val="00B050"/>
          <w:lang w:val="en-GB"/>
        </w:rPr>
        <w:t>Bianchi and de Man (2020)</w:t>
      </w:r>
      <w:r w:rsidR="00A61B4D" w:rsidRPr="00D44766">
        <w:rPr>
          <w:rFonts w:cs="Times New Roman"/>
          <w:lang w:val="en-GB"/>
        </w:rPr>
        <w:t xml:space="preserve"> criticise the UNWTO agenda which on the one side pushes the SDGs but equally encourages an </w:t>
      </w:r>
      <w:r w:rsidR="00E239E1" w:rsidRPr="00D44766">
        <w:rPr>
          <w:rFonts w:cs="Times New Roman"/>
          <w:lang w:val="en-GB"/>
        </w:rPr>
        <w:t>ever-increasing</w:t>
      </w:r>
      <w:r w:rsidR="00A61B4D" w:rsidRPr="00D44766">
        <w:rPr>
          <w:rFonts w:cs="Times New Roman"/>
          <w:lang w:val="en-GB"/>
        </w:rPr>
        <w:t xml:space="preserve"> number of </w:t>
      </w:r>
      <w:r w:rsidR="00503E83" w:rsidRPr="00D44766">
        <w:rPr>
          <w:rFonts w:cs="Times New Roman"/>
          <w:lang w:val="en-GB"/>
        </w:rPr>
        <w:t>travellers</w:t>
      </w:r>
      <w:r w:rsidR="00707AC8">
        <w:rPr>
          <w:rFonts w:cs="Times New Roman"/>
          <w:lang w:val="en-GB"/>
        </w:rPr>
        <w:t xml:space="preserve"> on the other side</w:t>
      </w:r>
      <w:r w:rsidR="00A61B4D" w:rsidRPr="00D44766">
        <w:rPr>
          <w:rFonts w:cs="Times New Roman"/>
          <w:lang w:val="en-GB"/>
        </w:rPr>
        <w:t xml:space="preserve">, which to the authors is contradictory. A profit-making expansion paired with increasing competitiveness does not address the very core problems of structural </w:t>
      </w:r>
      <w:r w:rsidR="00D44766" w:rsidRPr="00D44766">
        <w:rPr>
          <w:rFonts w:cs="Times New Roman"/>
          <w:lang w:val="en-GB"/>
        </w:rPr>
        <w:t>injustice</w:t>
      </w:r>
      <w:r w:rsidR="00A61B4D" w:rsidRPr="00D44766">
        <w:rPr>
          <w:rFonts w:cs="Times New Roman"/>
          <w:lang w:val="en-GB"/>
        </w:rPr>
        <w:t xml:space="preserve"> - like profits not staying in the host countries, exploitative labour etc. Both agendas – pushing SDGs and simultaneously pushing tourism growth - are in sharp contrast to each other and CSR/sustainable development can only help as much as long as the deeper causes are not treated. The challenge for sustainable / CSR in tourism is to find the right balance – especially in many less developed countries tourism is an income source for many people and the main economic business field. (</w:t>
      </w:r>
      <w:r w:rsidR="00A61B4D" w:rsidRPr="004C73FB">
        <w:rPr>
          <w:rFonts w:cs="Times New Roman"/>
          <w:color w:val="00B050"/>
          <w:lang w:val="en-GB"/>
        </w:rPr>
        <w:t>Streimikiene et al., 2020</w:t>
      </w:r>
      <w:r w:rsidR="00A61B4D" w:rsidRPr="00D44766">
        <w:rPr>
          <w:rFonts w:cs="Times New Roman"/>
          <w:lang w:val="en-GB"/>
        </w:rPr>
        <w:t>). In order for destinations to remain competitive long-term by protecting their resources while still provid</w:t>
      </w:r>
      <w:r w:rsidR="00E83FC1">
        <w:rPr>
          <w:rFonts w:cs="Times New Roman"/>
          <w:lang w:val="en-GB"/>
        </w:rPr>
        <w:t>ing</w:t>
      </w:r>
      <w:r w:rsidR="00A61B4D" w:rsidRPr="00D44766">
        <w:rPr>
          <w:rFonts w:cs="Times New Roman"/>
          <w:lang w:val="en-GB"/>
        </w:rPr>
        <w:t xml:space="preserve"> a living for those dependent on tourism, the right balance between sustainable development targets with as little to no negative impact on the surroundings is a crucial factor for the future and long-term development (</w:t>
      </w:r>
      <w:r w:rsidR="00A61B4D" w:rsidRPr="004C73FB">
        <w:rPr>
          <w:rFonts w:cs="Times New Roman"/>
          <w:color w:val="00B050"/>
          <w:lang w:val="en-GB"/>
        </w:rPr>
        <w:t>Streimikiene et al., 2020</w:t>
      </w:r>
      <w:r w:rsidR="00A61B4D" w:rsidRPr="00D44766">
        <w:rPr>
          <w:rFonts w:cs="Times New Roman"/>
          <w:lang w:val="en-GB"/>
        </w:rPr>
        <w:t xml:space="preserve">). </w:t>
      </w:r>
    </w:p>
    <w:p w14:paraId="1096A0AC" w14:textId="7AEEF391" w:rsidR="00CE6980" w:rsidRPr="007715ED" w:rsidRDefault="00E21A8A" w:rsidP="009D5552">
      <w:pPr>
        <w:contextualSpacing/>
        <w:rPr>
          <w:rFonts w:cs="Times New Roman"/>
          <w:lang w:val="en-GB"/>
        </w:rPr>
      </w:pPr>
      <w:r w:rsidRPr="00D44766">
        <w:rPr>
          <w:lang w:val="en-GB"/>
        </w:rPr>
        <w:t>Nevertheless, o</w:t>
      </w:r>
      <w:r w:rsidR="0047665C" w:rsidRPr="00D44766">
        <w:rPr>
          <w:lang w:val="en-GB"/>
        </w:rPr>
        <w:t>ver the last years, research on CSR in tourism has increased (</w:t>
      </w:r>
      <w:r w:rsidR="009B1053">
        <w:rPr>
          <w:color w:val="00B050"/>
          <w:lang w:val="en-GB"/>
        </w:rPr>
        <w:t>C</w:t>
      </w:r>
      <w:r w:rsidR="00A57C73">
        <w:rPr>
          <w:color w:val="00B050"/>
          <w:lang w:val="en-GB"/>
        </w:rPr>
        <w:t>hua</w:t>
      </w:r>
      <w:r w:rsidR="004C73FB" w:rsidRPr="004C73FB">
        <w:rPr>
          <w:color w:val="00B050"/>
          <w:lang w:val="en-GB"/>
        </w:rPr>
        <w:t>, Al-Ansi, Lee and Han</w:t>
      </w:r>
      <w:r w:rsidR="0047665C" w:rsidRPr="004C73FB">
        <w:rPr>
          <w:color w:val="00B050"/>
          <w:lang w:val="en-GB"/>
        </w:rPr>
        <w:t>, 2020</w:t>
      </w:r>
      <w:r w:rsidR="00A90AF0" w:rsidRPr="004C73FB">
        <w:rPr>
          <w:color w:val="00B050"/>
          <w:lang w:val="en-GB"/>
        </w:rPr>
        <w:t>; Font and Lynes, 2018</w:t>
      </w:r>
      <w:r w:rsidR="0047665C" w:rsidRPr="00D44766">
        <w:rPr>
          <w:lang w:val="en-GB"/>
        </w:rPr>
        <w:t xml:space="preserve">) – and according to </w:t>
      </w:r>
      <w:r w:rsidR="0047665C" w:rsidRPr="004C73FB">
        <w:rPr>
          <w:color w:val="00B050"/>
          <w:lang w:val="en-GB"/>
        </w:rPr>
        <w:t>Su</w:t>
      </w:r>
      <w:r w:rsidR="004C73FB" w:rsidRPr="004C73FB">
        <w:rPr>
          <w:color w:val="00B050"/>
          <w:lang w:val="en-GB"/>
        </w:rPr>
        <w:t>, Pan and Chen</w:t>
      </w:r>
      <w:r w:rsidR="00AB5DB5" w:rsidRPr="004C73FB">
        <w:rPr>
          <w:color w:val="00B050"/>
          <w:lang w:val="en-GB"/>
        </w:rPr>
        <w:t xml:space="preserve"> (</w:t>
      </w:r>
      <w:r w:rsidR="0047665C" w:rsidRPr="004C73FB">
        <w:rPr>
          <w:color w:val="00B050"/>
          <w:lang w:val="en-GB"/>
        </w:rPr>
        <w:t>2017</w:t>
      </w:r>
      <w:r w:rsidR="00AB5DB5" w:rsidRPr="004C73FB">
        <w:rPr>
          <w:color w:val="00B050"/>
          <w:lang w:val="en-GB"/>
        </w:rPr>
        <w:t>)</w:t>
      </w:r>
      <w:r w:rsidR="0047665C" w:rsidRPr="00D44766">
        <w:rPr>
          <w:lang w:val="en-GB"/>
        </w:rPr>
        <w:t xml:space="preserve"> CSR</w:t>
      </w:r>
      <w:r w:rsidR="00A61B4D" w:rsidRPr="00D44766">
        <w:rPr>
          <w:lang w:val="en-GB"/>
        </w:rPr>
        <w:t xml:space="preserve"> </w:t>
      </w:r>
      <w:r w:rsidR="0047665C" w:rsidRPr="00D44766">
        <w:rPr>
          <w:lang w:val="en-GB"/>
        </w:rPr>
        <w:t xml:space="preserve">does play an important role within the industry as the consumption of the tourism product/service happens outside of the usual habitual environment – and tourism companies should take over responsibility in those places where they operate </w:t>
      </w:r>
      <w:r w:rsidR="0047665C" w:rsidRPr="004C73FB">
        <w:rPr>
          <w:color w:val="00B050"/>
          <w:lang w:val="en-GB"/>
        </w:rPr>
        <w:t>(Han</w:t>
      </w:r>
      <w:r w:rsidR="004C73FB" w:rsidRPr="004C73FB">
        <w:rPr>
          <w:color w:val="00B050"/>
          <w:lang w:val="en-GB"/>
        </w:rPr>
        <w:t>, Chua, Ariza-Montes and Untaru</w:t>
      </w:r>
      <w:r w:rsidR="0047665C" w:rsidRPr="004C73FB">
        <w:rPr>
          <w:color w:val="00B050"/>
          <w:lang w:val="en-GB"/>
        </w:rPr>
        <w:t>, 2020)</w:t>
      </w:r>
      <w:r w:rsidR="0047665C" w:rsidRPr="00D44766">
        <w:rPr>
          <w:lang w:val="en-GB"/>
        </w:rPr>
        <w:t xml:space="preserve">. </w:t>
      </w:r>
      <w:r w:rsidR="00A90AF0" w:rsidRPr="00D44766">
        <w:rPr>
          <w:lang w:val="en-GB"/>
        </w:rPr>
        <w:t>Taking a closer look at the research that is done in reference to CSR in the tourism industry, the focus is predominantly set on a specific set of stakeholders (managements, employees, shareholders, consumers) whereby others a</w:t>
      </w:r>
      <w:r w:rsidR="009D5552" w:rsidRPr="00D44766">
        <w:rPr>
          <w:lang w:val="en-GB"/>
        </w:rPr>
        <w:t>re</w:t>
      </w:r>
      <w:r w:rsidR="00A90AF0" w:rsidRPr="00D44766">
        <w:rPr>
          <w:lang w:val="en-GB"/>
        </w:rPr>
        <w:t xml:space="preserve"> neglected a</w:t>
      </w:r>
      <w:r w:rsidR="00A61B4D" w:rsidRPr="00D44766">
        <w:rPr>
          <w:lang w:val="en-GB"/>
        </w:rPr>
        <w:t>t</w:t>
      </w:r>
      <w:r w:rsidR="00A90AF0" w:rsidRPr="00D44766">
        <w:rPr>
          <w:lang w:val="en-GB"/>
        </w:rPr>
        <w:t xml:space="preserve"> length –</w:t>
      </w:r>
      <w:r w:rsidR="009D5552" w:rsidRPr="00D44766">
        <w:rPr>
          <w:lang w:val="en-GB"/>
        </w:rPr>
        <w:t>those are</w:t>
      </w:r>
      <w:r w:rsidR="00A90AF0" w:rsidRPr="00D44766">
        <w:rPr>
          <w:lang w:val="en-GB"/>
        </w:rPr>
        <w:t xml:space="preserve"> </w:t>
      </w:r>
      <w:r w:rsidR="00A61B4D" w:rsidRPr="00D44766">
        <w:rPr>
          <w:lang w:val="en-GB"/>
        </w:rPr>
        <w:t xml:space="preserve">amongst </w:t>
      </w:r>
      <w:r w:rsidR="00AA538D" w:rsidRPr="00D44766">
        <w:rPr>
          <w:lang w:val="en-GB"/>
        </w:rPr>
        <w:t>other</w:t>
      </w:r>
      <w:r w:rsidR="00A61B4D" w:rsidRPr="00D44766">
        <w:rPr>
          <w:lang w:val="en-GB"/>
        </w:rPr>
        <w:t xml:space="preserve"> </w:t>
      </w:r>
      <w:r w:rsidR="00A90AF0" w:rsidRPr="00D44766">
        <w:rPr>
          <w:lang w:val="en-GB"/>
        </w:rPr>
        <w:t>suppliers, NGOs and governments (</w:t>
      </w:r>
      <w:r w:rsidR="00A90AF0" w:rsidRPr="004C73FB">
        <w:rPr>
          <w:color w:val="00B050"/>
          <w:lang w:val="en-GB"/>
        </w:rPr>
        <w:t>Font and Lynes, 2018)</w:t>
      </w:r>
      <w:r w:rsidR="009D5552" w:rsidRPr="004C73FB">
        <w:rPr>
          <w:color w:val="00B050"/>
          <w:lang w:val="en-GB"/>
        </w:rPr>
        <w:t>.</w:t>
      </w:r>
      <w:r w:rsidR="009D5552" w:rsidRPr="00D44766">
        <w:rPr>
          <w:lang w:val="en-GB"/>
        </w:rPr>
        <w:t xml:space="preserve"> But especially these parties, </w:t>
      </w:r>
      <w:r w:rsidR="00A90AF0" w:rsidRPr="00D44766">
        <w:rPr>
          <w:lang w:val="en-GB"/>
        </w:rPr>
        <w:t>c</w:t>
      </w:r>
      <w:r w:rsidR="009D5552" w:rsidRPr="00D44766">
        <w:rPr>
          <w:lang w:val="en-GB"/>
        </w:rPr>
        <w:t>an</w:t>
      </w:r>
      <w:r w:rsidR="00A90AF0" w:rsidRPr="00D44766">
        <w:rPr>
          <w:lang w:val="en-GB"/>
        </w:rPr>
        <w:t xml:space="preserve"> take on a vital role in advocating and establishing more CSR practices throughout the entire industry </w:t>
      </w:r>
      <w:r w:rsidR="009D5552" w:rsidRPr="00D44766">
        <w:rPr>
          <w:lang w:val="en-GB"/>
        </w:rPr>
        <w:t>and</w:t>
      </w:r>
      <w:r w:rsidR="00A90AF0" w:rsidRPr="00D44766">
        <w:rPr>
          <w:lang w:val="en-GB"/>
        </w:rPr>
        <w:t xml:space="preserve"> all its supply chains.</w:t>
      </w:r>
      <w:r w:rsidR="00282CBF">
        <w:rPr>
          <w:lang w:val="en-GB"/>
        </w:rPr>
        <w:t xml:space="preserve"> </w:t>
      </w:r>
      <w:r w:rsidR="001762F4" w:rsidRPr="00D44766">
        <w:rPr>
          <w:lang w:val="en-GB"/>
        </w:rPr>
        <w:t xml:space="preserve">Looking at the hospitality side of things </w:t>
      </w:r>
      <w:r w:rsidR="001762F4" w:rsidRPr="004C73FB">
        <w:rPr>
          <w:color w:val="00B050"/>
          <w:lang w:val="en-GB"/>
        </w:rPr>
        <w:t>Font and Lynes (2018</w:t>
      </w:r>
      <w:r w:rsidR="001762F4" w:rsidRPr="00D44766">
        <w:rPr>
          <w:lang w:val="en-GB"/>
        </w:rPr>
        <w:t>) found that out of the 50 largest hotel groups worldwide only 18 compile CSR reports containing information on environmental, social and economic aspects; in the cruise industry it’s only 12 out 80 (</w:t>
      </w:r>
      <w:r w:rsidR="00324AB4" w:rsidRPr="00324AB4">
        <w:rPr>
          <w:color w:val="00B050"/>
          <w:lang w:val="en-GB"/>
        </w:rPr>
        <w:t xml:space="preserve">Jesús </w:t>
      </w:r>
      <w:r w:rsidR="001762F4" w:rsidRPr="00324AB4">
        <w:rPr>
          <w:rFonts w:cs="Times New Roman"/>
          <w:color w:val="00B050"/>
          <w:lang w:val="en-GB"/>
        </w:rPr>
        <w:t>Bonilla-Priego, Font</w:t>
      </w:r>
      <w:r w:rsidR="004C73FB" w:rsidRPr="00324AB4">
        <w:rPr>
          <w:rFonts w:cs="Times New Roman"/>
          <w:color w:val="00B050"/>
          <w:lang w:val="en-GB"/>
        </w:rPr>
        <w:t xml:space="preserve"> and</w:t>
      </w:r>
      <w:r w:rsidR="001762F4" w:rsidRPr="00324AB4">
        <w:rPr>
          <w:rFonts w:cs="Times New Roman"/>
          <w:color w:val="00B050"/>
          <w:lang w:val="en-GB"/>
        </w:rPr>
        <w:t xml:space="preserve"> </w:t>
      </w:r>
      <w:r w:rsidR="00324AB4" w:rsidRPr="00324AB4">
        <w:rPr>
          <w:rFonts w:cs="Times New Roman"/>
          <w:color w:val="00B050"/>
          <w:lang w:val="en-GB"/>
        </w:rPr>
        <w:t xml:space="preserve">del Rosario </w:t>
      </w:r>
      <w:r w:rsidR="001762F4" w:rsidRPr="00324AB4">
        <w:rPr>
          <w:rFonts w:cs="Times New Roman"/>
          <w:color w:val="00B050"/>
          <w:lang w:val="en-GB"/>
        </w:rPr>
        <w:t>Pacheco</w:t>
      </w:r>
      <w:r w:rsidR="00324AB4" w:rsidRPr="00324AB4">
        <w:rPr>
          <w:rFonts w:cs="Times New Roman"/>
          <w:color w:val="00B050"/>
          <w:lang w:val="en-GB"/>
        </w:rPr>
        <w:t>-Olivares</w:t>
      </w:r>
      <w:r w:rsidR="001762F4" w:rsidRPr="00324AB4">
        <w:rPr>
          <w:rFonts w:cs="Times New Roman"/>
          <w:color w:val="00B050"/>
          <w:lang w:val="en-GB"/>
        </w:rPr>
        <w:t>, 2014</w:t>
      </w:r>
      <w:r w:rsidR="001762F4" w:rsidRPr="00D44766">
        <w:rPr>
          <w:rFonts w:cs="Times New Roman"/>
          <w:lang w:val="en-GB"/>
        </w:rPr>
        <w:t xml:space="preserve">; </w:t>
      </w:r>
      <w:r w:rsidR="001762F4" w:rsidRPr="00324AB4">
        <w:rPr>
          <w:rFonts w:cs="Times New Roman"/>
          <w:color w:val="00B050"/>
          <w:lang w:val="en-GB"/>
        </w:rPr>
        <w:t xml:space="preserve">Guix, </w:t>
      </w:r>
      <w:r w:rsidR="00324AB4" w:rsidRPr="00324AB4">
        <w:rPr>
          <w:rFonts w:cs="Times New Roman"/>
          <w:color w:val="00B050"/>
          <w:lang w:val="en-GB"/>
        </w:rPr>
        <w:t xml:space="preserve">Jesús </w:t>
      </w:r>
      <w:r w:rsidR="001762F4" w:rsidRPr="00324AB4">
        <w:rPr>
          <w:rFonts w:cs="Times New Roman"/>
          <w:color w:val="00B050"/>
          <w:lang w:val="en-GB"/>
        </w:rPr>
        <w:t xml:space="preserve">Bonilla-Priego </w:t>
      </w:r>
      <w:r w:rsidR="00324AB4" w:rsidRPr="00324AB4">
        <w:rPr>
          <w:rFonts w:cs="Times New Roman"/>
          <w:color w:val="00B050"/>
          <w:lang w:val="en-GB"/>
        </w:rPr>
        <w:t>and</w:t>
      </w:r>
      <w:r w:rsidR="001762F4" w:rsidRPr="00324AB4">
        <w:rPr>
          <w:rFonts w:cs="Times New Roman"/>
          <w:color w:val="00B050"/>
          <w:lang w:val="en-GB"/>
        </w:rPr>
        <w:t xml:space="preserve"> Font, 2017).</w:t>
      </w:r>
      <w:r w:rsidR="00731F2C" w:rsidRPr="00D44766">
        <w:rPr>
          <w:rFonts w:cs="Times New Roman"/>
          <w:lang w:val="en-GB"/>
        </w:rPr>
        <w:t xml:space="preserve"> </w:t>
      </w:r>
      <w:r w:rsidR="00CE6980">
        <w:rPr>
          <w:rFonts w:cs="Times New Roman"/>
          <w:lang w:val="en-GB"/>
        </w:rPr>
        <w:t xml:space="preserve">Taking a look at the German TO market, it needs to be </w:t>
      </w:r>
      <w:r w:rsidR="00AA538D">
        <w:rPr>
          <w:rFonts w:cs="Times New Roman"/>
          <w:lang w:val="en-GB"/>
        </w:rPr>
        <w:t>acknowledged</w:t>
      </w:r>
      <w:r w:rsidR="00CE6980">
        <w:rPr>
          <w:rFonts w:cs="Times New Roman"/>
          <w:lang w:val="en-GB"/>
        </w:rPr>
        <w:t xml:space="preserve"> that as early as 1998 a </w:t>
      </w:r>
      <w:r w:rsidR="007715ED">
        <w:rPr>
          <w:rFonts w:cs="Times New Roman"/>
          <w:lang w:val="en-GB"/>
        </w:rPr>
        <w:t xml:space="preserve">first association was founded </w:t>
      </w:r>
      <w:r w:rsidR="007715ED">
        <w:rPr>
          <w:rFonts w:cs="Times New Roman"/>
          <w:lang w:val="en-GB"/>
        </w:rPr>
        <w:lastRenderedPageBreak/>
        <w:t xml:space="preserve">committed sustainable tourism. </w:t>
      </w:r>
      <w:r w:rsidR="007715ED" w:rsidRPr="007715ED">
        <w:rPr>
          <w:rFonts w:cs="Times New Roman"/>
          <w:lang w:val="en-GB"/>
        </w:rPr>
        <w:t>Forum anders reisen e.V. today co</w:t>
      </w:r>
      <w:r w:rsidR="007715ED">
        <w:rPr>
          <w:rFonts w:cs="Times New Roman"/>
          <w:lang w:val="en-GB"/>
        </w:rPr>
        <w:t>nsists of 130 tour operators who all have to undergo a certification process in order to align with the goal of being</w:t>
      </w:r>
      <w:r w:rsidR="007715ED" w:rsidRPr="007715ED">
        <w:rPr>
          <w:rFonts w:cs="Times New Roman"/>
          <w:lang w:val="en-GB"/>
        </w:rPr>
        <w:t xml:space="preserve"> environmentally sustainable, economically feasible, and ethically and socially just for local communities in the long term</w:t>
      </w:r>
      <w:r w:rsidR="007715ED" w:rsidRPr="00375112">
        <w:rPr>
          <w:rFonts w:cs="Times New Roman"/>
          <w:color w:val="70AD47" w:themeColor="accent6"/>
          <w:lang w:val="en-GB"/>
        </w:rPr>
        <w:t xml:space="preserve"> (forum anders reisen, 2023</w:t>
      </w:r>
      <w:r w:rsidR="007715ED">
        <w:rPr>
          <w:rFonts w:cs="Times New Roman"/>
          <w:lang w:val="en-GB"/>
        </w:rPr>
        <w:t xml:space="preserve">). </w:t>
      </w:r>
    </w:p>
    <w:p w14:paraId="35E27FD9" w14:textId="23D52B17" w:rsidR="009A43A8" w:rsidRPr="00282CBF" w:rsidRDefault="00503E83" w:rsidP="009D5552">
      <w:pPr>
        <w:contextualSpacing/>
        <w:rPr>
          <w:rFonts w:cs="Times New Roman"/>
          <w:color w:val="FF0000"/>
          <w:lang w:val="en-GB"/>
        </w:rPr>
      </w:pPr>
      <w:r>
        <w:rPr>
          <w:lang w:val="en-GB"/>
        </w:rPr>
        <w:t>Focusing</w:t>
      </w:r>
      <w:r w:rsidR="007715ED">
        <w:rPr>
          <w:lang w:val="en-GB"/>
        </w:rPr>
        <w:t xml:space="preserve"> on the CSR initiatives, </w:t>
      </w:r>
      <w:r w:rsidR="00282CBF" w:rsidRPr="007715ED">
        <w:rPr>
          <w:color w:val="00B050"/>
          <w:lang w:val="en-GB"/>
        </w:rPr>
        <w:t xml:space="preserve">Madanaguli et al. </w:t>
      </w:r>
      <w:r w:rsidR="00282CBF" w:rsidRPr="00092615">
        <w:rPr>
          <w:color w:val="00B050"/>
          <w:lang w:val="en-GB"/>
        </w:rPr>
        <w:t>(2021)</w:t>
      </w:r>
      <w:r w:rsidR="00282CBF">
        <w:rPr>
          <w:lang w:val="en-GB"/>
        </w:rPr>
        <w:t xml:space="preserve"> find in their systematic literature review on CSR and sustainability in tourism, is that existing initiatives are predominantly concerned with communities and the environment, whereby the latter identifies as a key initiative. Activities here involve for example carbon offsetting, anti-poaching initiatives and generally attempts to reduce the ecological footprint. The existing research on the influence of CSR activities, </w:t>
      </w:r>
      <w:r w:rsidR="00731F2C" w:rsidRPr="00D44766">
        <w:rPr>
          <w:rFonts w:cs="Times New Roman"/>
          <w:lang w:val="en-GB"/>
        </w:rPr>
        <w:t>specifically for accommodation providers</w:t>
      </w:r>
      <w:r w:rsidR="00282CBF">
        <w:rPr>
          <w:rFonts w:cs="Times New Roman"/>
          <w:lang w:val="en-GB"/>
        </w:rPr>
        <w:t xml:space="preserve">, </w:t>
      </w:r>
      <w:r w:rsidR="00282CBF">
        <w:rPr>
          <w:lang w:val="en-GB"/>
        </w:rPr>
        <w:t xml:space="preserve">indicate </w:t>
      </w:r>
      <w:r w:rsidR="00731F2C" w:rsidRPr="00D44766">
        <w:rPr>
          <w:rFonts w:cs="Times New Roman"/>
          <w:lang w:val="en-GB"/>
        </w:rPr>
        <w:t>a slight positive CSR effect noticeable in terms of customer satisfaction, brand preference, loyalty towards the brand as well as its reputation and purchase intention (</w:t>
      </w:r>
      <w:r w:rsidR="00731F2C" w:rsidRPr="00324AB4">
        <w:rPr>
          <w:rFonts w:cs="Times New Roman"/>
          <w:color w:val="00B050"/>
          <w:lang w:val="en-GB"/>
        </w:rPr>
        <w:t xml:space="preserve">Gao </w:t>
      </w:r>
      <w:r w:rsidR="00324AB4" w:rsidRPr="00324AB4">
        <w:rPr>
          <w:rFonts w:cs="Times New Roman"/>
          <w:color w:val="00B050"/>
          <w:lang w:val="en-GB"/>
        </w:rPr>
        <w:t>and</w:t>
      </w:r>
      <w:r w:rsidR="00731F2C" w:rsidRPr="00324AB4">
        <w:rPr>
          <w:rFonts w:cs="Times New Roman"/>
          <w:color w:val="00B050"/>
          <w:lang w:val="en-GB"/>
        </w:rPr>
        <w:t xml:space="preserve"> Mattila, 2014</w:t>
      </w:r>
      <w:r w:rsidR="00731F2C" w:rsidRPr="00D44766">
        <w:rPr>
          <w:rFonts w:cs="Times New Roman"/>
          <w:lang w:val="en-GB"/>
        </w:rPr>
        <w:t xml:space="preserve">; </w:t>
      </w:r>
      <w:r w:rsidR="00731F2C" w:rsidRPr="00324AB4">
        <w:rPr>
          <w:rFonts w:cs="Times New Roman"/>
          <w:color w:val="00B050"/>
          <w:lang w:val="en-GB"/>
        </w:rPr>
        <w:t>Liu</w:t>
      </w:r>
      <w:r w:rsidR="00A352E2">
        <w:rPr>
          <w:rFonts w:cs="Times New Roman"/>
          <w:color w:val="00B050"/>
          <w:lang w:val="en-GB"/>
        </w:rPr>
        <w:t xml:space="preserve"> et al.,</w:t>
      </w:r>
      <w:r w:rsidR="00731F2C" w:rsidRPr="00324AB4">
        <w:rPr>
          <w:rFonts w:cs="Times New Roman"/>
          <w:color w:val="00B050"/>
          <w:lang w:val="en-GB"/>
        </w:rPr>
        <w:t xml:space="preserve"> 2014</w:t>
      </w:r>
      <w:r w:rsidR="00731F2C" w:rsidRPr="00D44766">
        <w:rPr>
          <w:rFonts w:cs="Times New Roman"/>
          <w:lang w:val="en-GB"/>
        </w:rPr>
        <w:t xml:space="preserve">; </w:t>
      </w:r>
      <w:r w:rsidR="00731F2C" w:rsidRPr="00324AB4">
        <w:rPr>
          <w:rFonts w:cs="Times New Roman"/>
          <w:color w:val="00B050"/>
          <w:lang w:val="en-GB"/>
        </w:rPr>
        <w:t xml:space="preserve">Martínez </w:t>
      </w:r>
      <w:r w:rsidR="00324AB4" w:rsidRPr="00324AB4">
        <w:rPr>
          <w:rFonts w:cs="Times New Roman"/>
          <w:color w:val="00B050"/>
          <w:lang w:val="en-GB"/>
        </w:rPr>
        <w:t xml:space="preserve">and Rodríguez del </w:t>
      </w:r>
      <w:r w:rsidR="00731F2C" w:rsidRPr="00324AB4">
        <w:rPr>
          <w:rFonts w:cs="Times New Roman"/>
          <w:color w:val="00B050"/>
          <w:lang w:val="en-GB"/>
        </w:rPr>
        <w:t xml:space="preserve">Bosque, 2013; Su, Swanson </w:t>
      </w:r>
      <w:r w:rsidR="00324AB4" w:rsidRPr="00324AB4">
        <w:rPr>
          <w:rFonts w:cs="Times New Roman"/>
          <w:color w:val="00B050"/>
          <w:lang w:val="en-GB"/>
        </w:rPr>
        <w:t>and</w:t>
      </w:r>
      <w:r w:rsidR="00731F2C" w:rsidRPr="00324AB4">
        <w:rPr>
          <w:rFonts w:cs="Times New Roman"/>
          <w:color w:val="00B050"/>
          <w:lang w:val="en-GB"/>
        </w:rPr>
        <w:t xml:space="preserve"> Chen, 2015</w:t>
      </w:r>
      <w:r w:rsidR="00282CBF">
        <w:rPr>
          <w:rFonts w:cs="Times New Roman"/>
          <w:color w:val="00B050"/>
          <w:lang w:val="en-GB"/>
        </w:rPr>
        <w:t xml:space="preserve">; </w:t>
      </w:r>
      <w:r w:rsidR="00282CBF" w:rsidRPr="00572117">
        <w:rPr>
          <w:rFonts w:cs="Times New Roman"/>
          <w:color w:val="70AD47" w:themeColor="accent6"/>
          <w:lang w:val="en-GB"/>
        </w:rPr>
        <w:t>Alvarado-Herrera</w:t>
      </w:r>
      <w:r w:rsidR="00572117">
        <w:rPr>
          <w:rFonts w:cs="Times New Roman"/>
          <w:color w:val="70AD47" w:themeColor="accent6"/>
          <w:lang w:val="en-GB"/>
        </w:rPr>
        <w:t xml:space="preserve">, </w:t>
      </w:r>
      <w:r w:rsidR="00572117" w:rsidRPr="00572117">
        <w:rPr>
          <w:rFonts w:cs="Times New Roman"/>
          <w:color w:val="70AD47" w:themeColor="accent6"/>
          <w:szCs w:val="24"/>
          <w:lang w:val="en-GB"/>
        </w:rPr>
        <w:t>Rodríguez-Soberanis and Herrera-Medina</w:t>
      </w:r>
      <w:r w:rsidR="00282CBF" w:rsidRPr="00572117">
        <w:rPr>
          <w:rFonts w:cs="Times New Roman"/>
          <w:color w:val="70AD47" w:themeColor="accent6"/>
          <w:lang w:val="en-GB"/>
        </w:rPr>
        <w:t>,</w:t>
      </w:r>
      <w:r w:rsidR="00572117">
        <w:rPr>
          <w:rFonts w:cs="Times New Roman"/>
          <w:color w:val="70AD47" w:themeColor="accent6"/>
          <w:lang w:val="en-GB"/>
        </w:rPr>
        <w:t xml:space="preserve"> </w:t>
      </w:r>
      <w:r w:rsidR="00282CBF" w:rsidRPr="00572117">
        <w:rPr>
          <w:rFonts w:cs="Times New Roman"/>
          <w:color w:val="70AD47" w:themeColor="accent6"/>
          <w:lang w:val="en-GB"/>
        </w:rPr>
        <w:t>2019</w:t>
      </w:r>
      <w:r w:rsidR="00282CBF">
        <w:rPr>
          <w:rFonts w:cs="Times New Roman"/>
          <w:color w:val="FF0000"/>
          <w:lang w:val="en-GB"/>
        </w:rPr>
        <w:t>,</w:t>
      </w:r>
      <w:r w:rsidR="00572117">
        <w:rPr>
          <w:rFonts w:cs="Times New Roman"/>
          <w:color w:val="FF0000"/>
          <w:lang w:val="en-GB"/>
        </w:rPr>
        <w:t xml:space="preserve"> </w:t>
      </w:r>
      <w:r w:rsidR="00282CBF" w:rsidRPr="00572117">
        <w:rPr>
          <w:rFonts w:cs="Times New Roman"/>
          <w:color w:val="70AD47" w:themeColor="accent6"/>
          <w:lang w:val="en-GB"/>
        </w:rPr>
        <w:t>Ettinger</w:t>
      </w:r>
      <w:r w:rsidR="00572117">
        <w:rPr>
          <w:rFonts w:cs="Times New Roman"/>
          <w:color w:val="70AD47" w:themeColor="accent6"/>
          <w:lang w:val="en-GB"/>
        </w:rPr>
        <w:t xml:space="preserve">, Grabner-Kräuter, Okazaki and Terhutter, </w:t>
      </w:r>
      <w:r w:rsidR="00282CBF" w:rsidRPr="00572117">
        <w:rPr>
          <w:rFonts w:cs="Times New Roman"/>
          <w:color w:val="70AD47" w:themeColor="accent6"/>
          <w:lang w:val="en-GB"/>
        </w:rPr>
        <w:t>2020</w:t>
      </w:r>
      <w:r w:rsidR="00731F2C" w:rsidRPr="00D44766">
        <w:rPr>
          <w:rFonts w:cs="Times New Roman"/>
          <w:lang w:val="en-GB"/>
        </w:rPr>
        <w:t xml:space="preserve">). </w:t>
      </w:r>
      <w:r w:rsidR="00282CBF">
        <w:rPr>
          <w:rFonts w:cs="Times New Roman"/>
          <w:lang w:val="en-GB"/>
        </w:rPr>
        <w:t>There are also studies who have focused on the effects of CSR on the employee and here, too, there is an indication of positive effects (</w:t>
      </w:r>
      <w:r w:rsidR="00AA538D">
        <w:rPr>
          <w:rFonts w:cs="Times New Roman"/>
          <w:lang w:val="en-GB"/>
        </w:rPr>
        <w:t>e.g.,</w:t>
      </w:r>
      <w:r w:rsidR="00A02492">
        <w:rPr>
          <w:rFonts w:cs="Times New Roman"/>
          <w:lang w:val="en-GB"/>
        </w:rPr>
        <w:t xml:space="preserve"> </w:t>
      </w:r>
      <w:r w:rsidR="00282CBF" w:rsidRPr="00A02492">
        <w:rPr>
          <w:rFonts w:cs="Times New Roman"/>
          <w:color w:val="70AD47" w:themeColor="accent6"/>
          <w:lang w:val="en-GB"/>
        </w:rPr>
        <w:t>Mao</w:t>
      </w:r>
      <w:r w:rsidR="00A02492" w:rsidRPr="00A02492">
        <w:rPr>
          <w:rFonts w:cs="Times New Roman"/>
          <w:color w:val="70AD47" w:themeColor="accent6"/>
          <w:lang w:val="en-GB"/>
        </w:rPr>
        <w:t>, He, Morriso and Coca-Stefaniak</w:t>
      </w:r>
      <w:r w:rsidR="00282CBF" w:rsidRPr="00A02492">
        <w:rPr>
          <w:rFonts w:cs="Times New Roman"/>
          <w:color w:val="70AD47" w:themeColor="accent6"/>
          <w:lang w:val="en-GB"/>
        </w:rPr>
        <w:t>., 2020;</w:t>
      </w:r>
      <w:r w:rsidR="00282CBF" w:rsidRPr="00282CBF">
        <w:rPr>
          <w:rFonts w:cs="Times New Roman"/>
          <w:color w:val="FF0000"/>
          <w:lang w:val="en-GB"/>
        </w:rPr>
        <w:t xml:space="preserve"> </w:t>
      </w:r>
      <w:r w:rsidR="00282CBF" w:rsidRPr="00A02492">
        <w:rPr>
          <w:rFonts w:cs="Times New Roman"/>
          <w:color w:val="70AD47" w:themeColor="accent6"/>
          <w:lang w:val="en-GB"/>
        </w:rPr>
        <w:t>Srivastava and Shree, 2019</w:t>
      </w:r>
      <w:r w:rsidR="00572117">
        <w:rPr>
          <w:rFonts w:cs="Times New Roman"/>
          <w:color w:val="FF0000"/>
          <w:lang w:val="en-GB"/>
        </w:rPr>
        <w:t>)</w:t>
      </w:r>
    </w:p>
    <w:p w14:paraId="609D081B" w14:textId="216EA9A7" w:rsidR="00C524A9" w:rsidRPr="00D44766" w:rsidRDefault="00AE26EB" w:rsidP="002E26E0">
      <w:pPr>
        <w:pStyle w:val="berschrift2"/>
        <w:contextualSpacing/>
        <w:rPr>
          <w:lang w:val="en-GB"/>
        </w:rPr>
      </w:pPr>
      <w:bookmarkStart w:id="42" w:name="_Toc143330988"/>
      <w:bookmarkStart w:id="43" w:name="_Toc143361655"/>
      <w:r>
        <w:rPr>
          <w:lang w:val="en-GB"/>
        </w:rPr>
        <w:t>3</w:t>
      </w:r>
      <w:r w:rsidR="002D07AA">
        <w:rPr>
          <w:lang w:val="en-GB"/>
        </w:rPr>
        <w:t xml:space="preserve">.3. </w:t>
      </w:r>
      <w:r w:rsidR="00C524A9" w:rsidRPr="00D44766">
        <w:rPr>
          <w:lang w:val="en-GB"/>
        </w:rPr>
        <w:t xml:space="preserve">CSR – </w:t>
      </w:r>
      <w:r w:rsidR="002E4C61" w:rsidRPr="00D44766">
        <w:rPr>
          <w:lang w:val="en-GB"/>
        </w:rPr>
        <w:t xml:space="preserve">effects and </w:t>
      </w:r>
      <w:r w:rsidR="00C524A9" w:rsidRPr="00D44766">
        <w:rPr>
          <w:lang w:val="en-GB"/>
        </w:rPr>
        <w:t>consumer</w:t>
      </w:r>
      <w:r w:rsidR="002E4C61" w:rsidRPr="00D44766">
        <w:rPr>
          <w:lang w:val="en-GB"/>
        </w:rPr>
        <w:t>’</w:t>
      </w:r>
      <w:r w:rsidR="00C524A9" w:rsidRPr="00D44766">
        <w:rPr>
          <w:lang w:val="en-GB"/>
        </w:rPr>
        <w:t>s point of view</w:t>
      </w:r>
      <w:bookmarkEnd w:id="42"/>
      <w:bookmarkEnd w:id="43"/>
    </w:p>
    <w:p w14:paraId="0409D367" w14:textId="657FAE8D" w:rsidR="00231E5D" w:rsidRPr="00D44766" w:rsidRDefault="00C524A9" w:rsidP="002E26E0">
      <w:pPr>
        <w:contextualSpacing/>
        <w:rPr>
          <w:lang w:val="en-GB"/>
        </w:rPr>
      </w:pPr>
      <w:r w:rsidRPr="00D44766">
        <w:rPr>
          <w:lang w:val="en-GB"/>
        </w:rPr>
        <w:t>As above highlighted already, companies invest into CSR not only because they are acting altruistic</w:t>
      </w:r>
      <w:r w:rsidR="00372039" w:rsidRPr="00D44766">
        <w:rPr>
          <w:lang w:val="en-GB"/>
        </w:rPr>
        <w:t>,</w:t>
      </w:r>
      <w:r w:rsidRPr="00D44766">
        <w:rPr>
          <w:lang w:val="en-GB"/>
        </w:rPr>
        <w:t xml:space="preserve"> but often there are also other economic reasons resonating with it. As companies and academics show a great interest in the effects of CSR on various stakeholders</w:t>
      </w:r>
      <w:r w:rsidR="00372039" w:rsidRPr="00D44766">
        <w:rPr>
          <w:lang w:val="en-GB"/>
        </w:rPr>
        <w:t>,</w:t>
      </w:r>
      <w:r w:rsidRPr="00D44766">
        <w:rPr>
          <w:lang w:val="en-GB"/>
        </w:rPr>
        <w:t xml:space="preserve"> there is a myriad of studies of the effects of CSR on various variables</w:t>
      </w:r>
      <w:r w:rsidRPr="005D0055">
        <w:rPr>
          <w:lang w:val="en-GB"/>
        </w:rPr>
        <w:t xml:space="preserve">. </w:t>
      </w:r>
      <w:r w:rsidR="00F13E35" w:rsidRPr="005D0055">
        <w:rPr>
          <w:lang w:val="en-GB"/>
        </w:rPr>
        <w:t xml:space="preserve">Acknowledging, that CSR activities can be directed to a number of stakeholders including </w:t>
      </w:r>
      <w:r w:rsidR="00A73471" w:rsidRPr="005D0055">
        <w:rPr>
          <w:lang w:val="en-GB"/>
        </w:rPr>
        <w:t xml:space="preserve">among others </w:t>
      </w:r>
      <w:r w:rsidR="00F13E35" w:rsidRPr="005D0055">
        <w:rPr>
          <w:lang w:val="en-GB"/>
        </w:rPr>
        <w:t>employees, shareholders</w:t>
      </w:r>
      <w:r w:rsidR="00A73471" w:rsidRPr="005D0055">
        <w:rPr>
          <w:lang w:val="en-GB"/>
        </w:rPr>
        <w:t>, suppliers but also non-governmental organization, for the purpose of this paragraph the focus is set on the consumer.</w:t>
      </w:r>
      <w:r w:rsidR="00A73471">
        <w:rPr>
          <w:lang w:val="en-GB"/>
        </w:rPr>
        <w:t xml:space="preserve"> </w:t>
      </w:r>
      <w:r w:rsidRPr="00D44766">
        <w:rPr>
          <w:lang w:val="en-GB"/>
        </w:rPr>
        <w:t>Once it can be understood how consumers react to CSR, companies can develop suitable CSR strategies to communicate their efforts and inevitably create a benefit (monetary or non-monetary) for themselves (</w:t>
      </w:r>
      <w:r w:rsidRPr="00742C3C">
        <w:rPr>
          <w:color w:val="00B050"/>
          <w:lang w:val="en-GB"/>
        </w:rPr>
        <w:t>Bhattacharya and Sen, 2004</w:t>
      </w:r>
      <w:r w:rsidRPr="00D44766">
        <w:rPr>
          <w:lang w:val="en-GB"/>
        </w:rPr>
        <w:t>)</w:t>
      </w:r>
      <w:r w:rsidR="00CF4932">
        <w:rPr>
          <w:lang w:val="en-GB"/>
        </w:rPr>
        <w:t xml:space="preserve"> while simultaneously engaging in activities supporting environmental and/or social causes</w:t>
      </w:r>
      <w:r w:rsidRPr="00D44766">
        <w:rPr>
          <w:lang w:val="en-GB"/>
        </w:rPr>
        <w:t>. However, consumer reactions to various CSR strategies</w:t>
      </w:r>
      <w:r w:rsidR="00CF4932">
        <w:rPr>
          <w:lang w:val="en-GB"/>
        </w:rPr>
        <w:t xml:space="preserve"> tested</w:t>
      </w:r>
      <w:r w:rsidRPr="00D44766">
        <w:rPr>
          <w:lang w:val="en-GB"/>
        </w:rPr>
        <w:t xml:space="preserve"> in studies suggest that a number of factors are influencing successful CSR</w:t>
      </w:r>
      <w:r w:rsidR="00372039" w:rsidRPr="00D44766">
        <w:rPr>
          <w:lang w:val="en-GB"/>
        </w:rPr>
        <w:t xml:space="preserve"> initiatives</w:t>
      </w:r>
      <w:r w:rsidRPr="00D44766">
        <w:rPr>
          <w:lang w:val="en-GB"/>
        </w:rPr>
        <w:t xml:space="preserve"> (</w:t>
      </w:r>
      <w:r w:rsidRPr="00742C3C">
        <w:rPr>
          <w:color w:val="00B050"/>
          <w:lang w:val="en-GB"/>
        </w:rPr>
        <w:t>Bhattacharya and Sen, 2004</w:t>
      </w:r>
      <w:r w:rsidRPr="00D44766">
        <w:rPr>
          <w:lang w:val="en-GB"/>
        </w:rPr>
        <w:t xml:space="preserve">). </w:t>
      </w:r>
      <w:r w:rsidR="00CF4932">
        <w:rPr>
          <w:lang w:val="en-GB"/>
        </w:rPr>
        <w:t xml:space="preserve">For companies though, it is </w:t>
      </w:r>
      <w:r w:rsidRPr="00D44766">
        <w:rPr>
          <w:lang w:val="en-GB"/>
        </w:rPr>
        <w:t xml:space="preserve">not only the external customer </w:t>
      </w:r>
      <w:r w:rsidR="00CF4932">
        <w:rPr>
          <w:lang w:val="en-GB"/>
        </w:rPr>
        <w:t>they</w:t>
      </w:r>
      <w:r w:rsidRPr="00D44766">
        <w:rPr>
          <w:lang w:val="en-GB"/>
        </w:rPr>
        <w:t xml:space="preserve"> have to consider</w:t>
      </w:r>
      <w:r w:rsidR="00372039" w:rsidRPr="00D44766">
        <w:rPr>
          <w:lang w:val="en-GB"/>
        </w:rPr>
        <w:t xml:space="preserve"> while implementing and evaluating the effects of their CSR </w:t>
      </w:r>
      <w:r w:rsidR="00E239E1" w:rsidRPr="00D44766">
        <w:rPr>
          <w:lang w:val="en-GB"/>
        </w:rPr>
        <w:t>initiatives,</w:t>
      </w:r>
      <w:r w:rsidRPr="00D44766">
        <w:rPr>
          <w:lang w:val="en-GB"/>
        </w:rPr>
        <w:t xml:space="preserve"> but also various other stakeholders need to be included into the equation to make CSR activities a long-term success with the </w:t>
      </w:r>
      <w:r w:rsidR="00AA538D" w:rsidRPr="00D44766">
        <w:rPr>
          <w:lang w:val="en-GB"/>
        </w:rPr>
        <w:t>often-subsequent</w:t>
      </w:r>
      <w:r w:rsidRPr="00D44766">
        <w:rPr>
          <w:lang w:val="en-GB"/>
        </w:rPr>
        <w:t xml:space="preserve"> theoretical benefits for the companies. (</w:t>
      </w:r>
      <w:r w:rsidRPr="00742C3C">
        <w:rPr>
          <w:color w:val="00B050"/>
          <w:lang w:val="en-GB"/>
        </w:rPr>
        <w:t>Bhattacharya and Sen, 2004</w:t>
      </w:r>
      <w:r w:rsidRPr="00D44766">
        <w:rPr>
          <w:lang w:val="en-GB"/>
        </w:rPr>
        <w:t xml:space="preserve">). </w:t>
      </w:r>
    </w:p>
    <w:p w14:paraId="3AE45DF0" w14:textId="38E7CA0E" w:rsidR="00231E5D" w:rsidRPr="00D44766" w:rsidRDefault="00E96FEE" w:rsidP="002E26E0">
      <w:pPr>
        <w:contextualSpacing/>
        <w:rPr>
          <w:lang w:val="en-GB"/>
        </w:rPr>
      </w:pPr>
      <w:r w:rsidRPr="00742C3C">
        <w:rPr>
          <w:color w:val="00B050"/>
          <w:lang w:val="en-GB"/>
        </w:rPr>
        <w:lastRenderedPageBreak/>
        <w:t>Font and Lynes (2018</w:t>
      </w:r>
      <w:r w:rsidRPr="00D44766">
        <w:rPr>
          <w:lang w:val="en-GB"/>
        </w:rPr>
        <w:t xml:space="preserve">) find that throughout research, a lot of attention is focused on CSR in terms of how it can be used as a tool to enhance economic gain – which per definition should not be the focus of CSR at all. </w:t>
      </w:r>
      <w:r w:rsidR="002E4C61" w:rsidRPr="00D44766">
        <w:rPr>
          <w:lang w:val="en-GB"/>
        </w:rPr>
        <w:t>The core of CSR</w:t>
      </w:r>
      <w:r w:rsidR="00231E5D" w:rsidRPr="00D44766">
        <w:rPr>
          <w:lang w:val="en-GB"/>
        </w:rPr>
        <w:t>,</w:t>
      </w:r>
      <w:r w:rsidR="002E4C61" w:rsidRPr="00D44766">
        <w:rPr>
          <w:lang w:val="en-GB"/>
        </w:rPr>
        <w:t xml:space="preserve"> as identified above</w:t>
      </w:r>
      <w:r w:rsidR="00231E5D" w:rsidRPr="00D44766">
        <w:rPr>
          <w:lang w:val="en-GB"/>
        </w:rPr>
        <w:t>,</w:t>
      </w:r>
      <w:r w:rsidR="002E4C61" w:rsidRPr="00D44766">
        <w:rPr>
          <w:lang w:val="en-GB"/>
        </w:rPr>
        <w:t xml:space="preserve"> is for companies to ensure that their business operations have a positive impact (</w:t>
      </w:r>
      <w:r w:rsidR="002E4C61" w:rsidRPr="00742C3C">
        <w:rPr>
          <w:color w:val="00B050"/>
          <w:lang w:val="en-GB"/>
        </w:rPr>
        <w:t>Font and Lynes, 2018</w:t>
      </w:r>
      <w:r w:rsidR="002E4C61" w:rsidRPr="00D44766">
        <w:rPr>
          <w:lang w:val="en-GB"/>
        </w:rPr>
        <w:t xml:space="preserve">). However, as the effects of CSR activities seemingly are very important a number of studies had been conducted to identify which CSR practices have a positive or for that matter negative influence and what </w:t>
      </w:r>
      <w:r w:rsidR="003051FF" w:rsidRPr="00D44766">
        <w:rPr>
          <w:lang w:val="en-GB"/>
        </w:rPr>
        <w:t>impact</w:t>
      </w:r>
      <w:r w:rsidR="00231E5D" w:rsidRPr="00D44766">
        <w:rPr>
          <w:lang w:val="en-GB"/>
        </w:rPr>
        <w:t>s</w:t>
      </w:r>
      <w:r w:rsidR="003051FF" w:rsidRPr="00D44766">
        <w:rPr>
          <w:lang w:val="en-GB"/>
        </w:rPr>
        <w:t xml:space="preserve"> these </w:t>
      </w:r>
      <w:r w:rsidR="00231E5D" w:rsidRPr="00D44766">
        <w:rPr>
          <w:lang w:val="en-GB"/>
        </w:rPr>
        <w:t xml:space="preserve">CSR </w:t>
      </w:r>
      <w:r w:rsidR="003051FF" w:rsidRPr="00D44766">
        <w:rPr>
          <w:lang w:val="en-GB"/>
        </w:rPr>
        <w:t xml:space="preserve">activities have on figures like short and long-term financial performance </w:t>
      </w:r>
      <w:r w:rsidR="003051FF" w:rsidRPr="00D44766">
        <w:rPr>
          <w:rFonts w:cs="Times New Roman"/>
          <w:szCs w:val="24"/>
          <w:lang w:val="en-GB"/>
        </w:rPr>
        <w:t>(</w:t>
      </w:r>
      <w:r w:rsidR="003051FF" w:rsidRPr="00D44766">
        <w:rPr>
          <w:rFonts w:cs="Times New Roman"/>
          <w:kern w:val="0"/>
          <w:szCs w:val="24"/>
          <w:lang w:val="en-GB"/>
        </w:rPr>
        <w:t xml:space="preserve">see for example </w:t>
      </w:r>
      <w:r w:rsidR="003051FF" w:rsidRPr="00742C3C">
        <w:rPr>
          <w:rFonts w:cs="Times New Roman"/>
          <w:color w:val="00B050"/>
          <w:kern w:val="0"/>
          <w:szCs w:val="24"/>
          <w:lang w:val="en-GB"/>
        </w:rPr>
        <w:t xml:space="preserve">Inoue </w:t>
      </w:r>
      <w:r w:rsidR="00742C3C">
        <w:rPr>
          <w:rFonts w:cs="Times New Roman"/>
          <w:color w:val="00B050"/>
          <w:kern w:val="0"/>
          <w:szCs w:val="24"/>
          <w:lang w:val="en-GB"/>
        </w:rPr>
        <w:t>and</w:t>
      </w:r>
      <w:r w:rsidR="003051FF" w:rsidRPr="00742C3C">
        <w:rPr>
          <w:rFonts w:cs="Times New Roman"/>
          <w:color w:val="00B050"/>
          <w:kern w:val="0"/>
          <w:szCs w:val="24"/>
          <w:lang w:val="en-GB"/>
        </w:rPr>
        <w:t xml:space="preserve"> Lee, 2011</w:t>
      </w:r>
      <w:r w:rsidR="003051FF" w:rsidRPr="00D44766">
        <w:rPr>
          <w:rFonts w:cs="Times New Roman"/>
          <w:kern w:val="0"/>
          <w:szCs w:val="24"/>
          <w:lang w:val="en-GB"/>
        </w:rPr>
        <w:t xml:space="preserve">; </w:t>
      </w:r>
      <w:r w:rsidR="003051FF" w:rsidRPr="00742C3C">
        <w:rPr>
          <w:rFonts w:cs="Times New Roman"/>
          <w:color w:val="00B050"/>
          <w:kern w:val="0"/>
          <w:szCs w:val="24"/>
          <w:lang w:val="en-GB"/>
        </w:rPr>
        <w:t>Kang, Lee</w:t>
      </w:r>
      <w:r w:rsidR="00742C3C" w:rsidRPr="00742C3C">
        <w:rPr>
          <w:rFonts w:cs="Times New Roman"/>
          <w:color w:val="00B050"/>
          <w:kern w:val="0"/>
          <w:szCs w:val="24"/>
          <w:lang w:val="en-GB"/>
        </w:rPr>
        <w:t xml:space="preserve"> and</w:t>
      </w:r>
      <w:r w:rsidR="003051FF" w:rsidRPr="00742C3C">
        <w:rPr>
          <w:rFonts w:cs="Times New Roman"/>
          <w:color w:val="00B050"/>
          <w:kern w:val="0"/>
          <w:szCs w:val="24"/>
          <w:lang w:val="en-GB"/>
        </w:rPr>
        <w:t xml:space="preserve"> Hug, 2010; Leonidou, Leonidou, Fotiadis</w:t>
      </w:r>
      <w:r w:rsidR="00A352E2">
        <w:rPr>
          <w:rFonts w:cs="Times New Roman"/>
          <w:color w:val="00B050"/>
          <w:kern w:val="0"/>
          <w:szCs w:val="24"/>
          <w:lang w:val="en-GB"/>
        </w:rPr>
        <w:t xml:space="preserve"> and</w:t>
      </w:r>
      <w:r w:rsidR="003051FF" w:rsidRPr="00742C3C">
        <w:rPr>
          <w:rFonts w:cs="Times New Roman"/>
          <w:color w:val="00B050"/>
          <w:kern w:val="0"/>
          <w:szCs w:val="24"/>
          <w:lang w:val="en-GB"/>
        </w:rPr>
        <w:t xml:space="preserve"> Zeriti, 2012; Pereira-Moliner</w:t>
      </w:r>
      <w:r w:rsidR="00880B21">
        <w:rPr>
          <w:rFonts w:cs="Times New Roman"/>
          <w:color w:val="00B050"/>
          <w:kern w:val="0"/>
          <w:szCs w:val="24"/>
          <w:lang w:val="en-GB"/>
        </w:rPr>
        <w:t>et al.,</w:t>
      </w:r>
      <w:r w:rsidR="003051FF" w:rsidRPr="00742C3C">
        <w:rPr>
          <w:rFonts w:cs="Times New Roman"/>
          <w:color w:val="00B050"/>
          <w:kern w:val="0"/>
          <w:szCs w:val="24"/>
          <w:lang w:val="en-GB"/>
        </w:rPr>
        <w:t xml:space="preserve"> 2015; Kim </w:t>
      </w:r>
      <w:r w:rsidR="00742C3C" w:rsidRPr="00742C3C">
        <w:rPr>
          <w:rFonts w:cs="Times New Roman"/>
          <w:color w:val="00B050"/>
          <w:kern w:val="0"/>
          <w:szCs w:val="24"/>
          <w:lang w:val="en-GB"/>
        </w:rPr>
        <w:t>and</w:t>
      </w:r>
      <w:r w:rsidR="003051FF" w:rsidRPr="00742C3C">
        <w:rPr>
          <w:rFonts w:cs="Times New Roman"/>
          <w:color w:val="00B050"/>
          <w:kern w:val="0"/>
          <w:szCs w:val="24"/>
          <w:lang w:val="en-GB"/>
        </w:rPr>
        <w:t xml:space="preserve"> Kim</w:t>
      </w:r>
      <w:r w:rsidR="00273693">
        <w:rPr>
          <w:rFonts w:cs="Times New Roman"/>
          <w:color w:val="00B050"/>
          <w:kern w:val="0"/>
          <w:szCs w:val="24"/>
          <w:lang w:val="en-GB"/>
        </w:rPr>
        <w:t>,</w:t>
      </w:r>
      <w:r w:rsidR="003051FF" w:rsidRPr="00742C3C">
        <w:rPr>
          <w:rFonts w:cs="Times New Roman"/>
          <w:color w:val="00B050"/>
          <w:kern w:val="0"/>
          <w:szCs w:val="24"/>
          <w:lang w:val="en-GB"/>
        </w:rPr>
        <w:t xml:space="preserve"> 2014; Singal, 2014</w:t>
      </w:r>
      <w:r w:rsidR="003051FF" w:rsidRPr="00742C3C">
        <w:rPr>
          <w:rFonts w:ascii="AdvOT46dcae81" w:hAnsi="AdvOT46dcae81" w:cs="AdvOT46dcae81"/>
          <w:color w:val="00B050"/>
          <w:kern w:val="0"/>
          <w:sz w:val="19"/>
          <w:szCs w:val="19"/>
          <w:lang w:val="en-GB"/>
        </w:rPr>
        <w:t>)</w:t>
      </w:r>
      <w:r w:rsidR="003051FF" w:rsidRPr="00D44766">
        <w:rPr>
          <w:lang w:val="en-GB"/>
        </w:rPr>
        <w:t xml:space="preserve"> – for</w:t>
      </w:r>
      <w:r w:rsidR="00B43D45" w:rsidRPr="00D44766">
        <w:rPr>
          <w:lang w:val="en-GB"/>
        </w:rPr>
        <w:t xml:space="preserve"> the</w:t>
      </w:r>
      <w:r w:rsidR="003051FF" w:rsidRPr="00D44766">
        <w:rPr>
          <w:lang w:val="en-GB"/>
        </w:rPr>
        <w:t xml:space="preserve"> tourism and hospitality industry</w:t>
      </w:r>
      <w:r w:rsidR="00CF4932">
        <w:rPr>
          <w:lang w:val="en-GB"/>
        </w:rPr>
        <w:t>,</w:t>
      </w:r>
      <w:r w:rsidR="003051FF" w:rsidRPr="00D44766">
        <w:rPr>
          <w:lang w:val="en-GB"/>
        </w:rPr>
        <w:t xml:space="preserve"> this topic has drawn most attention amongst researchers (</w:t>
      </w:r>
      <w:r w:rsidR="003051FF" w:rsidRPr="00742C3C">
        <w:rPr>
          <w:color w:val="00B050"/>
          <w:lang w:val="en-GB"/>
        </w:rPr>
        <w:t>Farrington</w:t>
      </w:r>
      <w:r w:rsidR="00733803">
        <w:rPr>
          <w:color w:val="00B050"/>
          <w:lang w:val="en-GB"/>
        </w:rPr>
        <w:t xml:space="preserve"> et al.</w:t>
      </w:r>
      <w:r w:rsidR="00742C3C" w:rsidRPr="00742C3C">
        <w:rPr>
          <w:color w:val="00B050"/>
          <w:lang w:val="en-GB"/>
        </w:rPr>
        <w:t>,</w:t>
      </w:r>
      <w:r w:rsidR="003051FF" w:rsidRPr="00742C3C">
        <w:rPr>
          <w:color w:val="00B050"/>
          <w:lang w:val="en-GB"/>
        </w:rPr>
        <w:t xml:space="preserve"> 2017</w:t>
      </w:r>
      <w:r w:rsidR="003051FF" w:rsidRPr="00D44766">
        <w:rPr>
          <w:lang w:val="en-GB"/>
        </w:rPr>
        <w:t xml:space="preserve">) </w:t>
      </w:r>
      <w:r w:rsidR="00B43D45" w:rsidRPr="00D44766">
        <w:rPr>
          <w:lang w:val="en-GB"/>
        </w:rPr>
        <w:t xml:space="preserve">but </w:t>
      </w:r>
      <w:r w:rsidR="003051FF" w:rsidRPr="00D44766">
        <w:rPr>
          <w:lang w:val="en-GB"/>
        </w:rPr>
        <w:t xml:space="preserve">with inconclusive results </w:t>
      </w:r>
      <w:r w:rsidR="003051FF" w:rsidRPr="00742C3C">
        <w:rPr>
          <w:color w:val="00B050"/>
          <w:lang w:val="en-GB"/>
        </w:rPr>
        <w:t>(Kang</w:t>
      </w:r>
      <w:r w:rsidR="00742C3C" w:rsidRPr="00742C3C">
        <w:rPr>
          <w:color w:val="00B050"/>
          <w:lang w:val="en-GB"/>
        </w:rPr>
        <w:t>, Lee and Hug</w:t>
      </w:r>
      <w:r w:rsidR="003051FF" w:rsidRPr="00742C3C">
        <w:rPr>
          <w:color w:val="00B050"/>
          <w:lang w:val="en-GB"/>
        </w:rPr>
        <w:t>, 2010; Pereira-Moliner et al., 2015</w:t>
      </w:r>
      <w:r w:rsidR="003051FF" w:rsidRPr="00D44766">
        <w:rPr>
          <w:lang w:val="en-GB"/>
        </w:rPr>
        <w:t>).</w:t>
      </w:r>
      <w:r w:rsidR="00B604F6" w:rsidRPr="00D44766">
        <w:rPr>
          <w:lang w:val="en-GB"/>
        </w:rPr>
        <w:t xml:space="preserve"> Disregarding these studies, CSR has become part of a strategic brand development</w:t>
      </w:r>
      <w:r w:rsidR="00E83FC1">
        <w:rPr>
          <w:lang w:val="en-GB"/>
        </w:rPr>
        <w:t>. Hence</w:t>
      </w:r>
      <w:r w:rsidR="00B604F6" w:rsidRPr="00D44766">
        <w:rPr>
          <w:lang w:val="en-GB"/>
        </w:rPr>
        <w:t xml:space="preserve">, </w:t>
      </w:r>
      <w:r w:rsidR="00E83FC1">
        <w:rPr>
          <w:lang w:val="en-GB"/>
        </w:rPr>
        <w:t xml:space="preserve">it is </w:t>
      </w:r>
      <w:r w:rsidR="00B604F6" w:rsidRPr="00D44766">
        <w:rPr>
          <w:lang w:val="en-GB"/>
        </w:rPr>
        <w:t xml:space="preserve">following </w:t>
      </w:r>
      <w:r w:rsidR="00E239E1" w:rsidRPr="00D44766">
        <w:rPr>
          <w:lang w:val="en-GB"/>
        </w:rPr>
        <w:t>a</w:t>
      </w:r>
      <w:r w:rsidR="00E239E1">
        <w:rPr>
          <w:lang w:val="en-GB"/>
        </w:rPr>
        <w:t xml:space="preserve"> rather </w:t>
      </w:r>
      <w:r w:rsidR="00E239E1" w:rsidRPr="00D44766">
        <w:rPr>
          <w:lang w:val="en-GB"/>
        </w:rPr>
        <w:t>economic</w:t>
      </w:r>
      <w:r w:rsidR="00B604F6" w:rsidRPr="00D44766">
        <w:rPr>
          <w:lang w:val="en-GB"/>
        </w:rPr>
        <w:t xml:space="preserve"> rational (</w:t>
      </w:r>
      <w:r w:rsidR="00B604F6" w:rsidRPr="00742C3C">
        <w:rPr>
          <w:color w:val="00B050"/>
          <w:lang w:val="en-GB"/>
        </w:rPr>
        <w:t>Kunz, May and Schmidt, 2020</w:t>
      </w:r>
      <w:r w:rsidR="00B604F6" w:rsidRPr="00D44766">
        <w:rPr>
          <w:lang w:val="en-GB"/>
        </w:rPr>
        <w:t>)</w:t>
      </w:r>
      <w:r w:rsidR="008D4061" w:rsidRPr="00D44766">
        <w:rPr>
          <w:lang w:val="en-GB"/>
        </w:rPr>
        <w:t xml:space="preserve"> and can </w:t>
      </w:r>
      <w:r w:rsidR="00231E5D" w:rsidRPr="00D44766">
        <w:rPr>
          <w:lang w:val="en-GB"/>
        </w:rPr>
        <w:t xml:space="preserve">by now </w:t>
      </w:r>
      <w:r w:rsidR="008D4061" w:rsidRPr="00D44766">
        <w:rPr>
          <w:lang w:val="en-GB"/>
        </w:rPr>
        <w:t>also be regarded as a form of brand image management in response to social pressure (</w:t>
      </w:r>
      <w:r w:rsidR="008D4061" w:rsidRPr="00406F59">
        <w:rPr>
          <w:color w:val="00B050"/>
          <w:lang w:val="en-GB"/>
        </w:rPr>
        <w:t>Achabou and Dekhili, 2013</w:t>
      </w:r>
      <w:r w:rsidR="008D4061" w:rsidRPr="00D44766">
        <w:rPr>
          <w:lang w:val="en-GB"/>
        </w:rPr>
        <w:t>).</w:t>
      </w:r>
      <w:r w:rsidR="00585688" w:rsidRPr="00D44766">
        <w:rPr>
          <w:lang w:val="en-GB"/>
        </w:rPr>
        <w:t xml:space="preserve"> Because CSR does reflect the potential to being able to improve or enhance the company’s image and thus </w:t>
      </w:r>
      <w:r w:rsidR="00CF4932">
        <w:rPr>
          <w:lang w:val="en-GB"/>
        </w:rPr>
        <w:t xml:space="preserve">it is believed that CSR </w:t>
      </w:r>
      <w:r w:rsidR="00585688" w:rsidRPr="00D44766">
        <w:rPr>
          <w:lang w:val="en-GB"/>
        </w:rPr>
        <w:t>inevitably</w:t>
      </w:r>
      <w:r w:rsidR="00B43D45" w:rsidRPr="00D44766">
        <w:rPr>
          <w:lang w:val="en-GB"/>
        </w:rPr>
        <w:t xml:space="preserve"> can</w:t>
      </w:r>
      <w:r w:rsidR="00585688" w:rsidRPr="00D44766">
        <w:rPr>
          <w:lang w:val="en-GB"/>
        </w:rPr>
        <w:t xml:space="preserve"> create a competitive advantage </w:t>
      </w:r>
      <w:r w:rsidR="00585688" w:rsidRPr="00406F59">
        <w:rPr>
          <w:color w:val="00B050"/>
          <w:lang w:val="en-GB"/>
        </w:rPr>
        <w:t>(Batat, 2019;</w:t>
      </w:r>
      <w:r w:rsidR="00585688" w:rsidRPr="00D44766">
        <w:rPr>
          <w:lang w:val="en-GB"/>
        </w:rPr>
        <w:t xml:space="preserve"> </w:t>
      </w:r>
      <w:r w:rsidR="00585688" w:rsidRPr="00406F59">
        <w:rPr>
          <w:color w:val="00B050"/>
          <w:lang w:val="en-GB"/>
        </w:rPr>
        <w:t>Melo and Galan, 2011</w:t>
      </w:r>
      <w:r w:rsidR="00585688" w:rsidRPr="00D44766">
        <w:rPr>
          <w:lang w:val="en-GB"/>
        </w:rPr>
        <w:t>).</w:t>
      </w:r>
      <w:r w:rsidR="008D4061" w:rsidRPr="00D44766">
        <w:rPr>
          <w:lang w:val="en-GB"/>
        </w:rPr>
        <w:t xml:space="preserve"> </w:t>
      </w:r>
      <w:r w:rsidR="00585688" w:rsidRPr="00D44766">
        <w:rPr>
          <w:lang w:val="en-GB"/>
        </w:rPr>
        <w:t>But exactly this attitude seems to be trickling through and awareness about using CSR activities as marketing strategies is rising (</w:t>
      </w:r>
      <w:r w:rsidR="00585688" w:rsidRPr="00406F59">
        <w:rPr>
          <w:color w:val="00B050"/>
          <w:lang w:val="en-GB"/>
        </w:rPr>
        <w:t>Peng and Chen, 2019</w:t>
      </w:r>
      <w:r w:rsidR="00406F59" w:rsidRPr="00406F59">
        <w:rPr>
          <w:color w:val="00B050"/>
          <w:lang w:val="en-GB"/>
        </w:rPr>
        <w:t>b</w:t>
      </w:r>
      <w:r w:rsidR="00585688" w:rsidRPr="00D44766">
        <w:rPr>
          <w:lang w:val="en-GB"/>
        </w:rPr>
        <w:t>)</w:t>
      </w:r>
      <w:r w:rsidR="00CF4932">
        <w:rPr>
          <w:lang w:val="en-GB"/>
        </w:rPr>
        <w:t>. C</w:t>
      </w:r>
      <w:r w:rsidR="00585688" w:rsidRPr="00D44766">
        <w:rPr>
          <w:lang w:val="en-GB"/>
        </w:rPr>
        <w:t>onsumers are getting increasingly sensitive to potential greenwashing activities which can</w:t>
      </w:r>
      <w:r w:rsidR="00231E5D" w:rsidRPr="00D44766">
        <w:rPr>
          <w:lang w:val="en-GB"/>
        </w:rPr>
        <w:t xml:space="preserve"> eventually</w:t>
      </w:r>
      <w:r w:rsidR="00585688" w:rsidRPr="00D44766">
        <w:rPr>
          <w:lang w:val="en-GB"/>
        </w:rPr>
        <w:t xml:space="preserve"> lead </w:t>
      </w:r>
      <w:r w:rsidR="00231E5D" w:rsidRPr="00D44766">
        <w:rPr>
          <w:lang w:val="en-GB"/>
        </w:rPr>
        <w:t>to</w:t>
      </w:r>
      <w:r w:rsidR="00585688" w:rsidRPr="00D44766">
        <w:rPr>
          <w:lang w:val="en-GB"/>
        </w:rPr>
        <w:t xml:space="preserve"> them boycotting the product at all (</w:t>
      </w:r>
      <w:r w:rsidR="00585688" w:rsidRPr="004D2C63">
        <w:rPr>
          <w:color w:val="00B050"/>
          <w:lang w:val="en-GB"/>
        </w:rPr>
        <w:t>Chen and Chang, 201</w:t>
      </w:r>
      <w:r w:rsidR="00E51477">
        <w:rPr>
          <w:color w:val="00B050"/>
          <w:lang w:val="en-GB"/>
        </w:rPr>
        <w:t>2</w:t>
      </w:r>
      <w:r w:rsidR="00585688" w:rsidRPr="004D2C63">
        <w:rPr>
          <w:color w:val="00B050"/>
          <w:lang w:val="en-GB"/>
        </w:rPr>
        <w:t>).</w:t>
      </w:r>
      <w:r w:rsidR="00585688" w:rsidRPr="00D44766">
        <w:rPr>
          <w:lang w:val="en-GB"/>
        </w:rPr>
        <w:t xml:space="preserve"> </w:t>
      </w:r>
      <w:r w:rsidR="00231E5D" w:rsidRPr="00D44766">
        <w:rPr>
          <w:lang w:val="en-GB"/>
        </w:rPr>
        <w:t xml:space="preserve">Companies have to face accusation of greenwashing and this suspicion can spread very quick nowadays. </w:t>
      </w:r>
      <w:r w:rsidR="00585688" w:rsidRPr="00D44766">
        <w:rPr>
          <w:lang w:val="en-GB"/>
        </w:rPr>
        <w:t>The term greenwashing means that companies are willingly (or due to bad communication) mislead consumers about their environmental practices (</w:t>
      </w:r>
      <w:r w:rsidR="00585688" w:rsidRPr="004D2C63">
        <w:rPr>
          <w:color w:val="00B050"/>
          <w:lang w:val="en-GB"/>
        </w:rPr>
        <w:t xml:space="preserve">Parguel, Benoit-Moreah, </w:t>
      </w:r>
      <w:r w:rsidR="00880B21">
        <w:rPr>
          <w:color w:val="00B050"/>
          <w:lang w:val="en-GB"/>
        </w:rPr>
        <w:t>and</w:t>
      </w:r>
      <w:r w:rsidR="00585688" w:rsidRPr="004D2C63">
        <w:rPr>
          <w:color w:val="00B050"/>
          <w:lang w:val="en-GB"/>
        </w:rPr>
        <w:t xml:space="preserve"> Larceneux, 2011</w:t>
      </w:r>
      <w:r w:rsidR="00585688" w:rsidRPr="00D44766">
        <w:rPr>
          <w:lang w:val="en-GB"/>
        </w:rPr>
        <w:t xml:space="preserve">). </w:t>
      </w:r>
      <w:r w:rsidR="00242A35" w:rsidRPr="00D44766">
        <w:rPr>
          <w:lang w:val="en-GB"/>
        </w:rPr>
        <w:t xml:space="preserve">A certain wariness of the sincerity of company’s CSR motives is spreading amongst consumers and </w:t>
      </w:r>
      <w:r w:rsidR="00231E5D" w:rsidRPr="00D44766">
        <w:rPr>
          <w:lang w:val="en-GB"/>
        </w:rPr>
        <w:t xml:space="preserve">they increasingly start to </w:t>
      </w:r>
      <w:r w:rsidR="00242A35" w:rsidRPr="00D44766">
        <w:rPr>
          <w:lang w:val="en-GB"/>
        </w:rPr>
        <w:t>question why companies do engage in CSR at all (</w:t>
      </w:r>
      <w:r w:rsidR="00242A35" w:rsidRPr="004D2C63">
        <w:rPr>
          <w:color w:val="00B050"/>
          <w:lang w:val="en-GB"/>
        </w:rPr>
        <w:t>Bhattacharya and Sen, 2004)</w:t>
      </w:r>
      <w:r w:rsidR="00457D34" w:rsidRPr="004D2C63">
        <w:rPr>
          <w:color w:val="00B050"/>
          <w:lang w:val="en-GB"/>
        </w:rPr>
        <w:t>.</w:t>
      </w:r>
      <w:r w:rsidR="00457D34" w:rsidRPr="00D44766">
        <w:rPr>
          <w:lang w:val="en-GB"/>
        </w:rPr>
        <w:t xml:space="preserve"> This development seems to be moderated by the overall perception and evaluation of companies through the individual consumer and through the perceived fit of the respective CSR activities and the company itself</w:t>
      </w:r>
      <w:r w:rsidR="00231E5D" w:rsidRPr="00D44766">
        <w:rPr>
          <w:lang w:val="en-GB"/>
        </w:rPr>
        <w:t>. C</w:t>
      </w:r>
      <w:r w:rsidR="00457D34" w:rsidRPr="00D44766">
        <w:rPr>
          <w:lang w:val="en-GB"/>
        </w:rPr>
        <w:t>ompanies with a negative reputation involved in activities that are in close relation to their business make consumers suspicious (</w:t>
      </w:r>
      <w:r w:rsidR="00457D34" w:rsidRPr="004D2C63">
        <w:rPr>
          <w:color w:val="00B050"/>
          <w:lang w:val="en-GB"/>
        </w:rPr>
        <w:t>Bhattacharya and Sen, 2004</w:t>
      </w:r>
      <w:r w:rsidR="00457D34" w:rsidRPr="00D44766">
        <w:rPr>
          <w:lang w:val="en-GB"/>
        </w:rPr>
        <w:t xml:space="preserve">). </w:t>
      </w:r>
      <w:r w:rsidR="001E5CAD" w:rsidRPr="00D44766">
        <w:rPr>
          <w:lang w:val="en-GB"/>
        </w:rPr>
        <w:t>Consumers seem to show some sensitivity towards CSR activities which are perceived to be a mismatch between the company/its products and its CSR efforts (</w:t>
      </w:r>
      <w:r w:rsidR="001E5CAD" w:rsidRPr="004D2C63">
        <w:rPr>
          <w:color w:val="00B050"/>
          <w:lang w:val="en-GB"/>
        </w:rPr>
        <w:t>Luchs</w:t>
      </w:r>
      <w:r w:rsidR="004D2C63" w:rsidRPr="004D2C63">
        <w:rPr>
          <w:color w:val="00B050"/>
          <w:lang w:val="en-GB"/>
        </w:rPr>
        <w:t>, Naylor, Irwin and Raghunathan,</w:t>
      </w:r>
      <w:r w:rsidR="001E5CAD" w:rsidRPr="004D2C63">
        <w:rPr>
          <w:color w:val="00B050"/>
          <w:lang w:val="en-GB"/>
        </w:rPr>
        <w:t xml:space="preserve"> 2010</w:t>
      </w:r>
      <w:r w:rsidR="001E5CAD" w:rsidRPr="00D44766">
        <w:rPr>
          <w:lang w:val="en-GB"/>
        </w:rPr>
        <w:t xml:space="preserve">). </w:t>
      </w:r>
      <w:r w:rsidR="001E5CAD" w:rsidRPr="004D2C63">
        <w:rPr>
          <w:color w:val="00B050"/>
          <w:lang w:val="en-GB"/>
        </w:rPr>
        <w:t>Vock (2022</w:t>
      </w:r>
      <w:r w:rsidR="001E5CAD" w:rsidRPr="00D44766">
        <w:rPr>
          <w:lang w:val="en-GB"/>
        </w:rPr>
        <w:t xml:space="preserve">) labels this as CSR-CA trade-off; meaning that CSR activities might distract companies from the corporate abilities (CA) which can have a negative </w:t>
      </w:r>
      <w:r w:rsidR="001E5CAD" w:rsidRPr="00D44766">
        <w:rPr>
          <w:lang w:val="en-GB"/>
        </w:rPr>
        <w:lastRenderedPageBreak/>
        <w:t>influence on consumers</w:t>
      </w:r>
      <w:r w:rsidR="00231E5D" w:rsidRPr="00D44766">
        <w:rPr>
          <w:lang w:val="en-GB"/>
        </w:rPr>
        <w:t>’</w:t>
      </w:r>
      <w:r w:rsidR="001E5CAD" w:rsidRPr="00D44766">
        <w:rPr>
          <w:lang w:val="en-GB"/>
        </w:rPr>
        <w:t xml:space="preserve"> brand and product evaluation (</w:t>
      </w:r>
      <w:r w:rsidR="001E5CAD" w:rsidRPr="004D2C63">
        <w:rPr>
          <w:color w:val="00B050"/>
          <w:lang w:val="en-GB"/>
        </w:rPr>
        <w:t>Sen and Bhattacharya, 2001</w:t>
      </w:r>
      <w:r w:rsidR="001E5CAD" w:rsidRPr="00D44766">
        <w:rPr>
          <w:lang w:val="en-GB"/>
        </w:rPr>
        <w:t xml:space="preserve">). </w:t>
      </w:r>
      <w:r w:rsidR="00FB150B" w:rsidRPr="00D44766">
        <w:rPr>
          <w:lang w:val="en-GB"/>
        </w:rPr>
        <w:t>Current mainstream CSR research does show a tendency that strategic CSR</w:t>
      </w:r>
      <w:r w:rsidR="00231E5D" w:rsidRPr="00D44766">
        <w:rPr>
          <w:lang w:val="en-GB"/>
        </w:rPr>
        <w:t>,</w:t>
      </w:r>
      <w:r w:rsidR="00FB150B" w:rsidRPr="00D44766">
        <w:rPr>
          <w:lang w:val="en-GB"/>
        </w:rPr>
        <w:t xml:space="preserve"> which means CSR activities are embedded into the business processes show a more favourable response than peripheral CSR activities (</w:t>
      </w:r>
      <w:r w:rsidR="00FB150B" w:rsidRPr="004D2C63">
        <w:rPr>
          <w:rFonts w:cs="Times New Roman"/>
          <w:color w:val="00B050"/>
          <w:lang w:val="en-GB"/>
        </w:rPr>
        <w:t>Aguinis and Glavas, 2013; Green and Peloza, 2011;</w:t>
      </w:r>
      <w:r w:rsidR="00FB150B" w:rsidRPr="00D44766">
        <w:rPr>
          <w:rFonts w:ascii="Abadi Extra Light" w:hAnsi="Abadi Extra Light"/>
          <w:lang w:val="en-GB"/>
        </w:rPr>
        <w:t xml:space="preserve"> </w:t>
      </w:r>
      <w:r w:rsidR="00FB150B" w:rsidRPr="004D2C63">
        <w:rPr>
          <w:rFonts w:cs="Times New Roman"/>
          <w:color w:val="00B050"/>
          <w:lang w:val="en-GB"/>
        </w:rPr>
        <w:t>Peloza and Shang, 2011</w:t>
      </w:r>
      <w:r w:rsidR="00FB150B" w:rsidRPr="00D44766">
        <w:rPr>
          <w:lang w:val="en-GB"/>
        </w:rPr>
        <w:t xml:space="preserve">). </w:t>
      </w:r>
    </w:p>
    <w:p w14:paraId="0BF1306D" w14:textId="67E50542" w:rsidR="00F255AE" w:rsidRDefault="00B8235E" w:rsidP="00F255AE">
      <w:pPr>
        <w:contextualSpacing/>
        <w:rPr>
          <w:rFonts w:ascii="Abadi Extra Light" w:hAnsi="Abadi Extra Light"/>
          <w:noProof/>
          <w:lang w:val="en-GB"/>
        </w:rPr>
      </w:pPr>
      <w:r>
        <w:rPr>
          <w:rFonts w:ascii="Abadi Extra Light" w:hAnsi="Abadi Extra Light"/>
          <w:noProof/>
          <w:lang w:val="en-GB"/>
        </w:rPr>
        <w:drawing>
          <wp:anchor distT="0" distB="0" distL="114300" distR="114300" simplePos="0" relativeHeight="251658240" behindDoc="0" locked="0" layoutInCell="1" allowOverlap="1" wp14:anchorId="1F8C4FC5" wp14:editId="7B5B70C3">
            <wp:simplePos x="0" y="0"/>
            <wp:positionH relativeFrom="margin">
              <wp:posOffset>508635</wp:posOffset>
            </wp:positionH>
            <wp:positionV relativeFrom="margin">
              <wp:posOffset>5755166</wp:posOffset>
            </wp:positionV>
            <wp:extent cx="4760595" cy="2971800"/>
            <wp:effectExtent l="19050" t="19050" r="1905" b="0"/>
            <wp:wrapSquare wrapText="bothSides"/>
            <wp:docPr id="41229011" name="Grafik 8"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29011" name="Grafik 8" descr="Ein Bild, das Text, Screenshot, Schrift, Diagramm enthält.&#10;&#10;Automatisch generierte Beschreibung"/>
                    <pic:cNvPicPr/>
                  </pic:nvPicPr>
                  <pic:blipFill rotWithShape="1">
                    <a:blip r:embed="rId21" cstate="print">
                      <a:extLst>
                        <a:ext uri="{28A0092B-C50C-407E-A947-70E740481C1C}">
                          <a14:useLocalDpi xmlns:a14="http://schemas.microsoft.com/office/drawing/2010/main" val="0"/>
                        </a:ext>
                      </a:extLst>
                    </a:blip>
                    <a:srcRect l="5456" r="4431"/>
                    <a:stretch/>
                  </pic:blipFill>
                  <pic:spPr bwMode="auto">
                    <a:xfrm>
                      <a:off x="0" y="0"/>
                      <a:ext cx="4760595" cy="2971800"/>
                    </a:xfrm>
                    <a:prstGeom prst="rect">
                      <a:avLst/>
                    </a:prstGeom>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94A32" w:rsidRPr="00D44766">
        <w:rPr>
          <w:lang w:val="en-GB"/>
        </w:rPr>
        <w:t>As can be derived from the various outcomes of a myriad of studies  - the reactions CSR trigger are not straightforward and often contradictory</w:t>
      </w:r>
      <w:r w:rsidR="000519D1" w:rsidRPr="00D44766">
        <w:rPr>
          <w:lang w:val="en-GB"/>
        </w:rPr>
        <w:t>. I</w:t>
      </w:r>
      <w:r w:rsidR="00494A32" w:rsidRPr="00D44766">
        <w:rPr>
          <w:lang w:val="en-GB"/>
        </w:rPr>
        <w:t>f CSR activities translate into a purchase decision does depend on multiple factors (</w:t>
      </w:r>
      <w:r w:rsidR="00494A32" w:rsidRPr="004D2C63">
        <w:rPr>
          <w:color w:val="00B050"/>
          <w:lang w:val="en-GB"/>
        </w:rPr>
        <w:t>Bhattacharya and Sen, 2004)</w:t>
      </w:r>
      <w:r w:rsidR="000519D1" w:rsidRPr="00D44766">
        <w:rPr>
          <w:lang w:val="en-GB"/>
        </w:rPr>
        <w:t xml:space="preserve"> and cannot be traced and pinpointed to the company’s investment in CSR</w:t>
      </w:r>
      <w:r w:rsidR="00DB6F01" w:rsidRPr="00D44766">
        <w:rPr>
          <w:lang w:val="en-GB"/>
        </w:rPr>
        <w:t xml:space="preserve"> directly</w:t>
      </w:r>
      <w:r w:rsidR="00494A32" w:rsidRPr="00D44766">
        <w:rPr>
          <w:lang w:val="en-GB"/>
        </w:rPr>
        <w:t xml:space="preserve">. </w:t>
      </w:r>
      <w:r w:rsidR="00E239E1" w:rsidRPr="00D44766">
        <w:rPr>
          <w:lang w:val="en-GB"/>
        </w:rPr>
        <w:t>Also,</w:t>
      </w:r>
      <w:r w:rsidR="000519D1" w:rsidRPr="00D44766">
        <w:rPr>
          <w:lang w:val="en-GB"/>
        </w:rPr>
        <w:t xml:space="preserve"> it cannot be generalised either – some consumer segment might react </w:t>
      </w:r>
      <w:r w:rsidR="00A2358C" w:rsidRPr="00D44766">
        <w:rPr>
          <w:lang w:val="en-GB"/>
        </w:rPr>
        <w:t>favourable,</w:t>
      </w:r>
      <w:r w:rsidR="000519D1" w:rsidRPr="00D44766">
        <w:rPr>
          <w:lang w:val="en-GB"/>
        </w:rPr>
        <w:t xml:space="preserve"> and other</w:t>
      </w:r>
      <w:r w:rsidR="00DB6F01" w:rsidRPr="00D44766">
        <w:rPr>
          <w:lang w:val="en-GB"/>
        </w:rPr>
        <w:t>s</w:t>
      </w:r>
      <w:r w:rsidR="000519D1" w:rsidRPr="00D44766">
        <w:rPr>
          <w:lang w:val="en-GB"/>
        </w:rPr>
        <w:t xml:space="preserve"> do not. </w:t>
      </w:r>
      <w:r w:rsidR="00666835" w:rsidRPr="00D44766">
        <w:rPr>
          <w:lang w:val="en-GB"/>
        </w:rPr>
        <w:t xml:space="preserve">A cross-cultural study by </w:t>
      </w:r>
      <w:r w:rsidR="00666835" w:rsidRPr="00E77BA4">
        <w:rPr>
          <w:color w:val="00B050"/>
          <w:lang w:val="en-GB"/>
        </w:rPr>
        <w:t>Singh</w:t>
      </w:r>
      <w:r w:rsidR="00E77BA4" w:rsidRPr="00E77BA4">
        <w:rPr>
          <w:color w:val="00B050"/>
          <w:lang w:val="en-GB"/>
        </w:rPr>
        <w:t>, Sanchez and Bosque</w:t>
      </w:r>
      <w:r w:rsidR="00666835" w:rsidRPr="00E77BA4">
        <w:rPr>
          <w:color w:val="00B050"/>
          <w:lang w:val="en-GB"/>
        </w:rPr>
        <w:t xml:space="preserve"> (2008</w:t>
      </w:r>
      <w:r w:rsidR="00666835" w:rsidRPr="00D44766">
        <w:rPr>
          <w:lang w:val="en-GB"/>
        </w:rPr>
        <w:t>), show</w:t>
      </w:r>
      <w:r w:rsidR="00DB6F01" w:rsidRPr="00D44766">
        <w:rPr>
          <w:lang w:val="en-GB"/>
        </w:rPr>
        <w:t>s</w:t>
      </w:r>
      <w:r w:rsidR="00666835" w:rsidRPr="00D44766">
        <w:rPr>
          <w:lang w:val="en-GB"/>
        </w:rPr>
        <w:t xml:space="preserve"> evidence, that cultures with high scores on the dimension of long-term orientation seem to have a high</w:t>
      </w:r>
      <w:r w:rsidR="00DB6F01" w:rsidRPr="00D44766">
        <w:rPr>
          <w:lang w:val="en-GB"/>
        </w:rPr>
        <w:t>er</w:t>
      </w:r>
      <w:r w:rsidR="00666835" w:rsidRPr="00D44766">
        <w:rPr>
          <w:lang w:val="en-GB"/>
        </w:rPr>
        <w:t xml:space="preserve"> predisposition to value sustainability (</w:t>
      </w:r>
      <w:r w:rsidR="00666835" w:rsidRPr="00E77BA4">
        <w:rPr>
          <w:color w:val="00B050"/>
          <w:lang w:val="en-GB"/>
        </w:rPr>
        <w:t>Minton</w:t>
      </w:r>
      <w:r w:rsidR="00E77BA4" w:rsidRPr="00E77BA4">
        <w:rPr>
          <w:color w:val="00B050"/>
          <w:lang w:val="en-GB"/>
        </w:rPr>
        <w:t>, Spielmann, Kahle and Kim</w:t>
      </w:r>
      <w:r w:rsidR="00666835" w:rsidRPr="00E77BA4">
        <w:rPr>
          <w:color w:val="00B050"/>
          <w:lang w:val="en-GB"/>
        </w:rPr>
        <w:t>, 2018</w:t>
      </w:r>
      <w:r w:rsidR="00666835" w:rsidRPr="00D44766">
        <w:rPr>
          <w:lang w:val="en-GB"/>
        </w:rPr>
        <w:t xml:space="preserve">). </w:t>
      </w:r>
      <w:r w:rsidR="00494A32" w:rsidRPr="00D44766">
        <w:rPr>
          <w:lang w:val="en-GB"/>
        </w:rPr>
        <w:t>Not only does culture play a role in the perception of CSR (</w:t>
      </w:r>
      <w:r w:rsidR="00494A32" w:rsidRPr="00E77BA4">
        <w:rPr>
          <w:color w:val="00B050"/>
          <w:lang w:val="en-GB"/>
        </w:rPr>
        <w:t>Souiden</w:t>
      </w:r>
      <w:r w:rsidR="00E77BA4" w:rsidRPr="00E77BA4">
        <w:rPr>
          <w:color w:val="00B050"/>
          <w:lang w:val="en-GB"/>
        </w:rPr>
        <w:t>, M’Saad and Pons</w:t>
      </w:r>
      <w:r w:rsidR="00494A32" w:rsidRPr="00E77BA4">
        <w:rPr>
          <w:color w:val="00B050"/>
          <w:lang w:val="en-GB"/>
        </w:rPr>
        <w:t>, 2011</w:t>
      </w:r>
      <w:r w:rsidR="00494A32" w:rsidRPr="00D44766">
        <w:rPr>
          <w:lang w:val="en-GB"/>
        </w:rPr>
        <w:t>) but also socio-demographic factors like gender, profession, income and also if consumers are familiar with the products and their awareness of the affects that their consumption has (</w:t>
      </w:r>
      <w:r w:rsidR="00494A32" w:rsidRPr="00E77BA4">
        <w:rPr>
          <w:color w:val="00B050"/>
          <w:lang w:val="en-GB"/>
        </w:rPr>
        <w:t>D’Souza, Taghian</w:t>
      </w:r>
      <w:r w:rsidR="00D2058C">
        <w:rPr>
          <w:color w:val="00B050"/>
          <w:lang w:val="en-GB"/>
        </w:rPr>
        <w:t>, Lamb</w:t>
      </w:r>
      <w:r w:rsidR="00494A32" w:rsidRPr="00E77BA4">
        <w:rPr>
          <w:color w:val="00B050"/>
          <w:lang w:val="en-GB"/>
        </w:rPr>
        <w:t xml:space="preserve"> and Peratiatko, 2007</w:t>
      </w:r>
      <w:r w:rsidR="00494A32" w:rsidRPr="00D44766">
        <w:rPr>
          <w:lang w:val="en-GB"/>
        </w:rPr>
        <w:t xml:space="preserve">). </w:t>
      </w:r>
      <w:r w:rsidR="00B929E3" w:rsidRPr="00D44766">
        <w:rPr>
          <w:lang w:val="en-GB"/>
        </w:rPr>
        <w:t xml:space="preserve">Understanding consumer reaction seems to be a rather difficult tasks </w:t>
      </w:r>
      <w:r w:rsidR="00E239E1" w:rsidRPr="00D44766">
        <w:rPr>
          <w:lang w:val="en-GB"/>
        </w:rPr>
        <w:t>considering</w:t>
      </w:r>
      <w:r w:rsidR="00B929E3" w:rsidRPr="00D44766">
        <w:rPr>
          <w:lang w:val="en-GB"/>
        </w:rPr>
        <w:t xml:space="preserve"> the numerous factors affecting</w:t>
      </w:r>
      <w:r w:rsidR="000519D1" w:rsidRPr="00D44766">
        <w:rPr>
          <w:lang w:val="en-GB"/>
        </w:rPr>
        <w:t xml:space="preserve"> </w:t>
      </w:r>
      <w:r w:rsidR="00B929E3" w:rsidRPr="00D44766">
        <w:rPr>
          <w:lang w:val="en-GB"/>
        </w:rPr>
        <w:t>the individual reaction. Through getting a clearer picture of consumers reactions</w:t>
      </w:r>
      <w:r w:rsidR="000519D1" w:rsidRPr="00D44766">
        <w:rPr>
          <w:lang w:val="en-GB"/>
        </w:rPr>
        <w:t xml:space="preserve"> though</w:t>
      </w:r>
      <w:r w:rsidR="00B929E3" w:rsidRPr="00D44766">
        <w:rPr>
          <w:lang w:val="en-GB"/>
        </w:rPr>
        <w:t>, companies do have the opportunity to develop suitable CSR strateg</w:t>
      </w:r>
      <w:r w:rsidR="000519D1" w:rsidRPr="00D44766">
        <w:rPr>
          <w:lang w:val="en-GB"/>
        </w:rPr>
        <w:t>i</w:t>
      </w:r>
      <w:r w:rsidR="00B929E3" w:rsidRPr="00D44766">
        <w:rPr>
          <w:lang w:val="en-GB"/>
        </w:rPr>
        <w:t xml:space="preserve">es. </w:t>
      </w:r>
      <w:r w:rsidR="00B929E3" w:rsidRPr="00E77BA4">
        <w:rPr>
          <w:color w:val="00B050"/>
          <w:lang w:val="en-GB"/>
        </w:rPr>
        <w:t>Bhattacharya and Sen (2004</w:t>
      </w:r>
      <w:r w:rsidR="00B929E3" w:rsidRPr="00D44766">
        <w:rPr>
          <w:lang w:val="en-GB"/>
        </w:rPr>
        <w:t>) focus on three basic ideas as shown in the following figure:</w:t>
      </w:r>
      <w:r w:rsidR="000519D1" w:rsidRPr="00D44766">
        <w:rPr>
          <w:rFonts w:ascii="Abadi Extra Light" w:hAnsi="Abadi Extra Light"/>
          <w:noProof/>
          <w:lang w:val="en-GB"/>
        </w:rPr>
        <w:t xml:space="preserve"> </w:t>
      </w:r>
    </w:p>
    <w:p w14:paraId="203E2FF1" w14:textId="72ACBD3F" w:rsidR="00F255AE" w:rsidRPr="00D44766" w:rsidRDefault="00F255AE" w:rsidP="00F255AE">
      <w:pPr>
        <w:pStyle w:val="Beschriftung"/>
        <w:jc w:val="center"/>
        <w:rPr>
          <w:lang w:val="en-GB"/>
        </w:rPr>
      </w:pPr>
      <w:bookmarkStart w:id="44" w:name="_Toc143360814"/>
      <w:bookmarkStart w:id="45" w:name="_Toc143360946"/>
      <w:bookmarkStart w:id="46" w:name="_Toc143361083"/>
      <w:r w:rsidRPr="00321BB8">
        <w:rPr>
          <w:lang w:val="en-GB"/>
        </w:rPr>
        <w:t xml:space="preserve">Figure </w:t>
      </w:r>
      <w:r>
        <w:fldChar w:fldCharType="begin"/>
      </w:r>
      <w:r w:rsidRPr="00321BB8">
        <w:rPr>
          <w:lang w:val="en-GB"/>
        </w:rPr>
        <w:instrText xml:space="preserve"> SEQ Figure \* ARABIC </w:instrText>
      </w:r>
      <w:r>
        <w:fldChar w:fldCharType="separate"/>
      </w:r>
      <w:r w:rsidR="00E81CC9">
        <w:rPr>
          <w:noProof/>
          <w:lang w:val="en-GB"/>
        </w:rPr>
        <w:t>7</w:t>
      </w:r>
      <w:r>
        <w:fldChar w:fldCharType="end"/>
      </w:r>
      <w:r w:rsidRPr="00321BB8">
        <w:rPr>
          <w:lang w:val="en-GB"/>
        </w:rPr>
        <w:t>: A Contingent View of CSR (</w:t>
      </w:r>
      <w:r w:rsidR="00503E83" w:rsidRPr="00D44766">
        <w:rPr>
          <w:rFonts w:cs="Times New Roman"/>
          <w:noProof/>
          <w:lang w:val="en-GB"/>
        </w:rPr>
        <w:t>Bhattacharya</w:t>
      </w:r>
      <w:r w:rsidRPr="00D44766">
        <w:rPr>
          <w:rFonts w:cs="Times New Roman"/>
          <w:noProof/>
          <w:lang w:val="en-GB"/>
        </w:rPr>
        <w:t xml:space="preserve"> and Sen, 2014</w:t>
      </w:r>
      <w:r>
        <w:rPr>
          <w:rFonts w:cs="Times New Roman"/>
          <w:noProof/>
          <w:lang w:val="en-GB"/>
        </w:rPr>
        <w:t>)</w:t>
      </w:r>
      <w:bookmarkEnd w:id="44"/>
      <w:bookmarkEnd w:id="45"/>
      <w:bookmarkEnd w:id="46"/>
    </w:p>
    <w:p w14:paraId="48AE4E82" w14:textId="6FA8EFA0" w:rsidR="00F255AE" w:rsidRDefault="00F255AE" w:rsidP="00F255AE">
      <w:pPr>
        <w:contextualSpacing/>
        <w:rPr>
          <w:rFonts w:cs="Times New Roman"/>
          <w:noProof/>
          <w:lang w:val="en-GB"/>
        </w:rPr>
      </w:pPr>
      <w:r>
        <w:rPr>
          <w:rFonts w:cs="Times New Roman"/>
          <w:noProof/>
          <w:lang w:val="en-GB"/>
        </w:rPr>
        <w:lastRenderedPageBreak/>
        <w:t>F</w:t>
      </w:r>
      <w:r w:rsidR="00B929E3" w:rsidRPr="00D44766">
        <w:rPr>
          <w:rFonts w:cs="Times New Roman"/>
          <w:noProof/>
          <w:lang w:val="en-GB"/>
        </w:rPr>
        <w:t xml:space="preserve">irst and foremost </w:t>
      </w:r>
      <w:r w:rsidR="00D450FD" w:rsidRPr="00D44766">
        <w:rPr>
          <w:rFonts w:cs="Times New Roman"/>
          <w:noProof/>
          <w:lang w:val="en-GB"/>
        </w:rPr>
        <w:t xml:space="preserve">it is important to understand that “one size does not fit all” – as above highlighted just like luxury the </w:t>
      </w:r>
      <w:r w:rsidR="000519D1" w:rsidRPr="00D44766">
        <w:rPr>
          <w:rFonts w:cs="Times New Roman"/>
          <w:noProof/>
          <w:lang w:val="en-GB"/>
        </w:rPr>
        <w:t>perception</w:t>
      </w:r>
      <w:r w:rsidR="00DB6F01" w:rsidRPr="00D44766">
        <w:rPr>
          <w:rFonts w:cs="Times New Roman"/>
          <w:noProof/>
          <w:lang w:val="en-GB"/>
        </w:rPr>
        <w:t xml:space="preserve"> and</w:t>
      </w:r>
      <w:r w:rsidR="000519D1" w:rsidRPr="00D44766">
        <w:rPr>
          <w:rFonts w:cs="Times New Roman"/>
          <w:noProof/>
          <w:lang w:val="en-GB"/>
        </w:rPr>
        <w:t xml:space="preserve"> </w:t>
      </w:r>
      <w:r w:rsidR="00D450FD" w:rsidRPr="00D44766">
        <w:rPr>
          <w:rFonts w:cs="Times New Roman"/>
          <w:noProof/>
          <w:lang w:val="en-GB"/>
        </w:rPr>
        <w:t>evaluation of CSR activities are highly indiv</w:t>
      </w:r>
      <w:r w:rsidR="00E83FC1">
        <w:rPr>
          <w:rFonts w:cs="Times New Roman"/>
          <w:noProof/>
          <w:lang w:val="en-GB"/>
        </w:rPr>
        <w:t>id</w:t>
      </w:r>
      <w:r w:rsidR="00D450FD" w:rsidRPr="00D44766">
        <w:rPr>
          <w:rFonts w:cs="Times New Roman"/>
          <w:noProof/>
          <w:lang w:val="en-GB"/>
        </w:rPr>
        <w:t>ual. Second</w:t>
      </w:r>
      <w:r w:rsidR="000519D1" w:rsidRPr="00D44766">
        <w:rPr>
          <w:rFonts w:cs="Times New Roman"/>
          <w:noProof/>
          <w:lang w:val="en-GB"/>
        </w:rPr>
        <w:t>: the</w:t>
      </w:r>
      <w:r w:rsidR="00D450FD" w:rsidRPr="00D44766">
        <w:rPr>
          <w:rFonts w:cs="Times New Roman"/>
          <w:noProof/>
          <w:lang w:val="en-GB"/>
        </w:rPr>
        <w:t xml:space="preserve"> idea is to not only focus on the external outcomes of CSR as </w:t>
      </w:r>
      <w:r w:rsidR="000519D1" w:rsidRPr="00D44766">
        <w:rPr>
          <w:rFonts w:cs="Times New Roman"/>
          <w:noProof/>
          <w:lang w:val="en-GB"/>
        </w:rPr>
        <w:t xml:space="preserve">e.g. the </w:t>
      </w:r>
      <w:r w:rsidR="00D450FD" w:rsidRPr="00D44766">
        <w:rPr>
          <w:rFonts w:cs="Times New Roman"/>
          <w:noProof/>
          <w:lang w:val="en-GB"/>
        </w:rPr>
        <w:t>increase in purchases but also internal ones from a customer perspective – meaning customers attitudes and attributions toward the company and its CSR activities. This is highlighted as paritc</w:t>
      </w:r>
      <w:r w:rsidR="00E83FC1">
        <w:rPr>
          <w:rFonts w:cs="Times New Roman"/>
          <w:noProof/>
          <w:lang w:val="en-GB"/>
        </w:rPr>
        <w:t>u</w:t>
      </w:r>
      <w:r w:rsidR="00D450FD" w:rsidRPr="00D44766">
        <w:rPr>
          <w:rFonts w:cs="Times New Roman"/>
          <w:noProof/>
          <w:lang w:val="en-GB"/>
        </w:rPr>
        <w:t>lalry important by the authors as this can lead to a competitive advantage in a market where product differentiation is decreasing. CSR activities here can lead to the company being regarded as forward-thinking, innovative and also it’s less imitable (</w:t>
      </w:r>
      <w:r w:rsidR="00D450FD" w:rsidRPr="00E77BA4">
        <w:rPr>
          <w:rFonts w:cs="Times New Roman"/>
          <w:noProof/>
          <w:color w:val="00B050"/>
          <w:lang w:val="en-GB"/>
        </w:rPr>
        <w:t>Bhattahcarya and Sen, 2014).</w:t>
      </w:r>
    </w:p>
    <w:p w14:paraId="27ACEC26" w14:textId="34917AC8" w:rsidR="009B64EA" w:rsidRPr="00D44766" w:rsidRDefault="009B64EA" w:rsidP="00F255AE">
      <w:pPr>
        <w:contextualSpacing/>
        <w:rPr>
          <w:rFonts w:cs="Times New Roman"/>
          <w:noProof/>
          <w:lang w:val="en-GB"/>
        </w:rPr>
      </w:pPr>
      <w:r w:rsidRPr="00D44766">
        <w:rPr>
          <w:lang w:val="en-GB"/>
        </w:rPr>
        <w:t>Taking a closer look yet again at the travel/tourism and hospitality industry there are a few particularities which become obvious in the current literature. Generally, from a business point of view, there is a tendency that CSR and sustainability have a positive impact on the financial performance in the hospitality industry (</w:t>
      </w:r>
      <w:r w:rsidRPr="00882D9C">
        <w:rPr>
          <w:color w:val="00B050"/>
          <w:lang w:val="en-GB"/>
        </w:rPr>
        <w:t>Kunz, May and Schimdt, 2020</w:t>
      </w:r>
      <w:r w:rsidRPr="00D44766">
        <w:rPr>
          <w:lang w:val="en-GB"/>
        </w:rPr>
        <w:t xml:space="preserve">). Yet again, </w:t>
      </w:r>
      <w:r w:rsidRPr="00882D9C">
        <w:rPr>
          <w:color w:val="00B050"/>
          <w:lang w:val="en-GB"/>
        </w:rPr>
        <w:t>Streimikiene et al. (2020</w:t>
      </w:r>
      <w:r w:rsidRPr="00D44766">
        <w:rPr>
          <w:lang w:val="en-GB"/>
        </w:rPr>
        <w:t xml:space="preserve">) identify </w:t>
      </w:r>
      <w:r w:rsidR="005F653B" w:rsidRPr="00D44766">
        <w:rPr>
          <w:lang w:val="en-GB"/>
        </w:rPr>
        <w:t xml:space="preserve">that even though sustainable tourism products are offered, clients usually do not </w:t>
      </w:r>
      <w:r w:rsidR="00E239E1" w:rsidRPr="00D44766">
        <w:rPr>
          <w:lang w:val="en-GB"/>
        </w:rPr>
        <w:t>choose</w:t>
      </w:r>
      <w:r w:rsidR="005F653B" w:rsidRPr="00D44766">
        <w:rPr>
          <w:lang w:val="en-GB"/>
        </w:rPr>
        <w:t xml:space="preserve"> those. </w:t>
      </w:r>
      <w:r w:rsidR="005F653B" w:rsidRPr="00882D9C">
        <w:rPr>
          <w:color w:val="00B050"/>
          <w:lang w:val="en-GB"/>
        </w:rPr>
        <w:t>Ponnapureddy</w:t>
      </w:r>
      <w:r w:rsidR="00880B21">
        <w:rPr>
          <w:color w:val="00B050"/>
          <w:lang w:val="en-GB"/>
        </w:rPr>
        <w:t xml:space="preserve"> et al. </w:t>
      </w:r>
      <w:r w:rsidR="005F653B" w:rsidRPr="00882D9C">
        <w:rPr>
          <w:color w:val="00B050"/>
          <w:lang w:val="en-GB"/>
        </w:rPr>
        <w:t>(2017)</w:t>
      </w:r>
      <w:r w:rsidR="005F653B" w:rsidRPr="00D44766">
        <w:rPr>
          <w:lang w:val="en-GB"/>
        </w:rPr>
        <w:t xml:space="preserve"> explain this with distrust towards those offers and the greenwashing possibility. </w:t>
      </w:r>
      <w:r w:rsidR="00471CCB" w:rsidRPr="00D44766">
        <w:rPr>
          <w:lang w:val="en-GB"/>
        </w:rPr>
        <w:t xml:space="preserve">Available research </w:t>
      </w:r>
      <w:r w:rsidR="000519D1" w:rsidRPr="00D44766">
        <w:rPr>
          <w:lang w:val="en-GB"/>
        </w:rPr>
        <w:t xml:space="preserve">also </w:t>
      </w:r>
      <w:r w:rsidR="00471CCB" w:rsidRPr="00D44766">
        <w:rPr>
          <w:lang w:val="en-GB"/>
        </w:rPr>
        <w:t xml:space="preserve">suggests that </w:t>
      </w:r>
      <w:r w:rsidR="000519D1" w:rsidRPr="00D44766">
        <w:rPr>
          <w:lang w:val="en-GB"/>
        </w:rPr>
        <w:t xml:space="preserve">individual </w:t>
      </w:r>
      <w:r w:rsidR="00471CCB" w:rsidRPr="00D44766">
        <w:rPr>
          <w:lang w:val="en-GB"/>
        </w:rPr>
        <w:t>behaviours change during holidays (</w:t>
      </w:r>
      <w:r w:rsidR="00471CCB" w:rsidRPr="00882D9C">
        <w:rPr>
          <w:rFonts w:cs="Times New Roman"/>
          <w:color w:val="00B050"/>
          <w:lang w:val="en-GB"/>
        </w:rPr>
        <w:t>Barr, Shaw, Coles,</w:t>
      </w:r>
      <w:r w:rsidR="009B1053">
        <w:rPr>
          <w:rFonts w:cs="Times New Roman"/>
          <w:color w:val="00B050"/>
          <w:lang w:val="en-GB"/>
        </w:rPr>
        <w:t xml:space="preserve"> and</w:t>
      </w:r>
      <w:r w:rsidR="00471CCB" w:rsidRPr="00882D9C">
        <w:rPr>
          <w:rFonts w:cs="Times New Roman"/>
          <w:color w:val="00B050"/>
          <w:lang w:val="en-GB"/>
        </w:rPr>
        <w:t xml:space="preserve"> Prillwith, 2010; Cohen, Higham</w:t>
      </w:r>
      <w:r w:rsidR="00FC3CC1">
        <w:rPr>
          <w:rFonts w:cs="Times New Roman"/>
          <w:color w:val="00B050"/>
          <w:lang w:val="en-GB"/>
        </w:rPr>
        <w:t xml:space="preserve"> and</w:t>
      </w:r>
      <w:r w:rsidR="00471CCB" w:rsidRPr="00882D9C">
        <w:rPr>
          <w:rFonts w:cs="Times New Roman"/>
          <w:color w:val="00B050"/>
          <w:lang w:val="en-GB"/>
        </w:rPr>
        <w:t xml:space="preserve"> Reis, </w:t>
      </w:r>
      <w:r w:rsidR="00471CCB" w:rsidRPr="00FC3CC1">
        <w:rPr>
          <w:rFonts w:cs="Times New Roman"/>
          <w:color w:val="00B050"/>
          <w:lang w:val="en-GB"/>
        </w:rPr>
        <w:t xml:space="preserve">2013; Dolnicar </w:t>
      </w:r>
      <w:r w:rsidR="00FC3CC1">
        <w:rPr>
          <w:rFonts w:cs="Times New Roman"/>
          <w:color w:val="00B050"/>
          <w:lang w:val="en-GB"/>
        </w:rPr>
        <w:t>and</w:t>
      </w:r>
      <w:r w:rsidR="00471CCB" w:rsidRPr="00FC3CC1">
        <w:rPr>
          <w:rFonts w:cs="Times New Roman"/>
          <w:color w:val="00B050"/>
          <w:lang w:val="en-GB"/>
        </w:rPr>
        <w:t xml:space="preserve"> Grün, 2009</w:t>
      </w:r>
      <w:r w:rsidR="00471CCB" w:rsidRPr="00D44766">
        <w:rPr>
          <w:rFonts w:cs="Times New Roman"/>
          <w:lang w:val="en-GB"/>
        </w:rPr>
        <w:t xml:space="preserve">; </w:t>
      </w:r>
      <w:r w:rsidR="00471CCB" w:rsidRPr="00FC3CC1">
        <w:rPr>
          <w:rFonts w:cs="Times New Roman"/>
          <w:color w:val="00B050"/>
          <w:lang w:val="en-GB"/>
        </w:rPr>
        <w:t xml:space="preserve">Juvan </w:t>
      </w:r>
      <w:r w:rsidR="00FC3CC1">
        <w:rPr>
          <w:rFonts w:cs="Times New Roman"/>
          <w:color w:val="00B050"/>
          <w:lang w:val="en-GB"/>
        </w:rPr>
        <w:t>and</w:t>
      </w:r>
      <w:r w:rsidR="00471CCB" w:rsidRPr="00FC3CC1">
        <w:rPr>
          <w:rFonts w:cs="Times New Roman"/>
          <w:color w:val="00B050"/>
          <w:lang w:val="en-GB"/>
        </w:rPr>
        <w:t xml:space="preserve"> Dolnicar, 2014</w:t>
      </w:r>
      <w:r w:rsidR="00471CCB" w:rsidRPr="00D44766">
        <w:rPr>
          <w:rFonts w:cs="Times New Roman"/>
          <w:lang w:val="en-GB"/>
        </w:rPr>
        <w:t>). But not only while being on holidays</w:t>
      </w:r>
      <w:r w:rsidR="00DB6F01" w:rsidRPr="00D44766">
        <w:rPr>
          <w:rFonts w:cs="Times New Roman"/>
          <w:lang w:val="en-GB"/>
        </w:rPr>
        <w:t xml:space="preserve"> -</w:t>
      </w:r>
      <w:r w:rsidR="00471CCB" w:rsidRPr="00D44766">
        <w:rPr>
          <w:rFonts w:cs="Times New Roman"/>
          <w:lang w:val="en-GB"/>
        </w:rPr>
        <w:t xml:space="preserve"> as various academics found out, the behaviour</w:t>
      </w:r>
      <w:r w:rsidR="000519D1" w:rsidRPr="00D44766">
        <w:rPr>
          <w:rFonts w:cs="Times New Roman"/>
          <w:lang w:val="en-GB"/>
        </w:rPr>
        <w:t>al</w:t>
      </w:r>
      <w:r w:rsidR="00471CCB" w:rsidRPr="00D44766">
        <w:rPr>
          <w:rFonts w:cs="Times New Roman"/>
          <w:lang w:val="en-GB"/>
        </w:rPr>
        <w:t xml:space="preserve"> change</w:t>
      </w:r>
      <w:r w:rsidR="000519D1" w:rsidRPr="00D44766">
        <w:rPr>
          <w:rFonts w:cs="Times New Roman"/>
          <w:lang w:val="en-GB"/>
        </w:rPr>
        <w:t>s</w:t>
      </w:r>
      <w:r w:rsidR="00471CCB" w:rsidRPr="00D44766">
        <w:rPr>
          <w:rFonts w:cs="Times New Roman"/>
          <w:lang w:val="en-GB"/>
        </w:rPr>
        <w:t xml:space="preserve"> already occur in the stages prior to making holiday</w:t>
      </w:r>
      <w:r w:rsidR="00DB6F01" w:rsidRPr="00D44766">
        <w:rPr>
          <w:rFonts w:cs="Times New Roman"/>
          <w:lang w:val="en-GB"/>
        </w:rPr>
        <w:t xml:space="preserve"> namely</w:t>
      </w:r>
      <w:r w:rsidR="00471CCB" w:rsidRPr="00D44766">
        <w:rPr>
          <w:rFonts w:cs="Times New Roman"/>
          <w:lang w:val="en-GB"/>
        </w:rPr>
        <w:t xml:space="preserve"> in the actual decision phase (</w:t>
      </w:r>
      <w:r w:rsidR="00FC3CC1" w:rsidRPr="00882D9C">
        <w:rPr>
          <w:rFonts w:cs="Times New Roman"/>
          <w:color w:val="00B050"/>
          <w:lang w:val="en-GB"/>
        </w:rPr>
        <w:t>Cohen, Higham</w:t>
      </w:r>
      <w:r w:rsidR="00FC3CC1">
        <w:rPr>
          <w:rFonts w:cs="Times New Roman"/>
          <w:color w:val="00B050"/>
          <w:lang w:val="en-GB"/>
        </w:rPr>
        <w:t xml:space="preserve"> and</w:t>
      </w:r>
      <w:r w:rsidR="00FC3CC1" w:rsidRPr="00882D9C">
        <w:rPr>
          <w:rFonts w:cs="Times New Roman"/>
          <w:color w:val="00B050"/>
          <w:lang w:val="en-GB"/>
        </w:rPr>
        <w:t xml:space="preserve"> Reis, </w:t>
      </w:r>
      <w:r w:rsidR="00FC3CC1" w:rsidRPr="00FC3CC1">
        <w:rPr>
          <w:rFonts w:cs="Times New Roman"/>
          <w:color w:val="00B050"/>
          <w:lang w:val="en-GB"/>
        </w:rPr>
        <w:t>2013</w:t>
      </w:r>
      <w:r w:rsidR="00471CCB" w:rsidRPr="00FC3CC1">
        <w:rPr>
          <w:rFonts w:cs="Times New Roman"/>
          <w:color w:val="00B050"/>
          <w:lang w:val="en-GB"/>
        </w:rPr>
        <w:t xml:space="preserve">; </w:t>
      </w:r>
      <w:r w:rsidR="00471CCB" w:rsidRPr="00CD0F10">
        <w:rPr>
          <w:rFonts w:cs="Times New Roman"/>
          <w:color w:val="00B050"/>
          <w:lang w:val="en-GB"/>
        </w:rPr>
        <w:t>McKercher</w:t>
      </w:r>
      <w:r w:rsidR="00CD0F10">
        <w:rPr>
          <w:rFonts w:cs="Times New Roman"/>
          <w:color w:val="00B050"/>
          <w:lang w:val="en-GB"/>
        </w:rPr>
        <w:t>,</w:t>
      </w:r>
      <w:r w:rsidR="00FC3CC1" w:rsidRPr="00CD0F10">
        <w:rPr>
          <w:rFonts w:cs="Times New Roman"/>
          <w:color w:val="00B050"/>
          <w:lang w:val="en-GB"/>
        </w:rPr>
        <w:t xml:space="preserve"> Prideaux, Cheung and Law</w:t>
      </w:r>
      <w:r w:rsidR="00471CCB" w:rsidRPr="00CD0F10">
        <w:rPr>
          <w:rFonts w:cs="Times New Roman"/>
          <w:color w:val="00B050"/>
          <w:lang w:val="en-GB"/>
        </w:rPr>
        <w:t>, 2010</w:t>
      </w:r>
      <w:r w:rsidR="00471CCB" w:rsidRPr="00FC3CC1">
        <w:rPr>
          <w:rFonts w:cs="Times New Roman"/>
          <w:color w:val="00B050"/>
          <w:lang w:val="en-GB"/>
        </w:rPr>
        <w:t>)</w:t>
      </w:r>
      <w:r w:rsidR="00471CCB" w:rsidRPr="00D44766">
        <w:rPr>
          <w:rFonts w:cs="Times New Roman"/>
          <w:lang w:val="en-GB"/>
        </w:rPr>
        <w:t xml:space="preserve">. While </w:t>
      </w:r>
      <w:r w:rsidR="00E239E1" w:rsidRPr="00D44766">
        <w:rPr>
          <w:rFonts w:cs="Times New Roman"/>
          <w:lang w:val="en-GB"/>
        </w:rPr>
        <w:t>it is</w:t>
      </w:r>
      <w:r w:rsidR="00471CCB" w:rsidRPr="00D44766">
        <w:rPr>
          <w:rFonts w:cs="Times New Roman"/>
          <w:lang w:val="en-GB"/>
        </w:rPr>
        <w:t xml:space="preserve"> generally known that flights – long-haul as well as short haul – make up a tremendous amount of the total emission (80%) </w:t>
      </w:r>
      <w:r w:rsidR="00471CCB" w:rsidRPr="007079DF">
        <w:rPr>
          <w:rFonts w:cs="Times New Roman"/>
          <w:color w:val="00B050"/>
          <w:lang w:val="en-GB"/>
        </w:rPr>
        <w:t>(Juvan and Dolnicar, 2014)</w:t>
      </w:r>
      <w:r w:rsidR="00471CCB" w:rsidRPr="00D44766">
        <w:rPr>
          <w:rFonts w:cs="Times New Roman"/>
          <w:lang w:val="en-GB"/>
        </w:rPr>
        <w:t xml:space="preserve"> it is apparently not recognised or even waived to </w:t>
      </w:r>
      <w:r w:rsidR="000519D1" w:rsidRPr="00D44766">
        <w:rPr>
          <w:rFonts w:cs="Times New Roman"/>
          <w:lang w:val="en-GB"/>
        </w:rPr>
        <w:t>choose</w:t>
      </w:r>
      <w:r w:rsidR="00471CCB" w:rsidRPr="00D44766">
        <w:rPr>
          <w:rFonts w:cs="Times New Roman"/>
          <w:lang w:val="en-GB"/>
        </w:rPr>
        <w:t xml:space="preserve"> a different mode of transport and inevitably in some cases holiday destination. </w:t>
      </w:r>
      <w:r w:rsidR="00B47E70">
        <w:rPr>
          <w:rFonts w:cs="Times New Roman"/>
          <w:lang w:val="en-GB"/>
        </w:rPr>
        <w:t xml:space="preserve">As a recent study of </w:t>
      </w:r>
      <w:r w:rsidR="00B47E70" w:rsidRPr="00F418B7">
        <w:rPr>
          <w:rFonts w:cs="Times New Roman"/>
          <w:color w:val="70AD47" w:themeColor="accent6"/>
          <w:lang w:val="en-GB"/>
        </w:rPr>
        <w:t>Schmücker, Sonntag and Günther (2019)</w:t>
      </w:r>
      <w:r w:rsidR="00B47E70">
        <w:rPr>
          <w:rFonts w:cs="Times New Roman"/>
          <w:lang w:val="en-GB"/>
        </w:rPr>
        <w:t xml:space="preserve"> shows, the distance travelled (on a flight) has increased from 63,2 billion kilometres in 2003 to 91,6 billion kilometres in 2018/2019 while the length of stay has only increased slightly from 846 million travel days in 2003 to 875 in 2018/2019</w:t>
      </w:r>
      <w:r w:rsidR="00872D24">
        <w:rPr>
          <w:rFonts w:cs="Times New Roman"/>
          <w:lang w:val="en-GB"/>
        </w:rPr>
        <w:t xml:space="preserve"> for German-speaking travellers</w:t>
      </w:r>
      <w:r w:rsidR="00B47E70">
        <w:rPr>
          <w:rFonts w:cs="Times New Roman"/>
          <w:lang w:val="en-GB"/>
        </w:rPr>
        <w:t xml:space="preserve">. While 56% of the German population claim that ecological and social aspects are important the figures speak another language: only 2% for example use </w:t>
      </w:r>
      <w:r w:rsidR="005F13B1">
        <w:rPr>
          <w:rFonts w:cs="Times New Roman"/>
          <w:lang w:val="en-GB"/>
        </w:rPr>
        <w:t xml:space="preserve">CO2 offset offers, only 6% check for ecological certificates (Schmücker, Sonntag and Günther, 2019). </w:t>
      </w:r>
      <w:r w:rsidR="00471CCB" w:rsidRPr="00D44766">
        <w:rPr>
          <w:rFonts w:cs="Times New Roman"/>
          <w:lang w:val="en-GB"/>
        </w:rPr>
        <w:t>Despite the rising awareness of that</w:t>
      </w:r>
      <w:r w:rsidR="000519D1" w:rsidRPr="00D44766">
        <w:rPr>
          <w:rFonts w:cs="Times New Roman"/>
          <w:lang w:val="en-GB"/>
        </w:rPr>
        <w:t xml:space="preserve"> fact</w:t>
      </w:r>
      <w:r w:rsidR="00872D24">
        <w:rPr>
          <w:rFonts w:cs="Times New Roman"/>
          <w:lang w:val="en-GB"/>
        </w:rPr>
        <w:t>,</w:t>
      </w:r>
      <w:r w:rsidR="000519D1" w:rsidRPr="00D44766">
        <w:rPr>
          <w:rFonts w:cs="Times New Roman"/>
          <w:lang w:val="en-GB"/>
        </w:rPr>
        <w:t xml:space="preserve"> personal behaviour is not adapted despite the knowledge </w:t>
      </w:r>
      <w:r w:rsidR="00471CCB" w:rsidRPr="00D44766">
        <w:rPr>
          <w:rFonts w:cs="Times New Roman"/>
          <w:lang w:val="en-GB"/>
        </w:rPr>
        <w:t>(</w:t>
      </w:r>
      <w:r w:rsidR="00471CCB" w:rsidRPr="007079DF">
        <w:rPr>
          <w:rFonts w:cs="Times New Roman"/>
          <w:color w:val="00B050"/>
          <w:lang w:val="en-GB"/>
        </w:rPr>
        <w:t>Cohen</w:t>
      </w:r>
      <w:r w:rsidR="007079DF" w:rsidRPr="007079DF">
        <w:rPr>
          <w:rFonts w:cs="Times New Roman"/>
          <w:color w:val="00B050"/>
          <w:lang w:val="en-GB"/>
        </w:rPr>
        <w:t>, Higham and Reis</w:t>
      </w:r>
      <w:r w:rsidR="00471CCB" w:rsidRPr="007079DF">
        <w:rPr>
          <w:rFonts w:cs="Times New Roman"/>
          <w:color w:val="00B050"/>
          <w:lang w:val="en-GB"/>
        </w:rPr>
        <w:t>, 2013</w:t>
      </w:r>
      <w:r w:rsidR="00471CCB" w:rsidRPr="00D44766">
        <w:rPr>
          <w:rFonts w:cs="Times New Roman"/>
          <w:lang w:val="en-GB"/>
        </w:rPr>
        <w:t xml:space="preserve">; </w:t>
      </w:r>
      <w:r w:rsidR="00471CCB" w:rsidRPr="006C246C">
        <w:rPr>
          <w:rFonts w:cs="Times New Roman"/>
          <w:color w:val="00B050"/>
          <w:lang w:val="en-GB"/>
        </w:rPr>
        <w:t>Higham</w:t>
      </w:r>
      <w:r w:rsidR="006C246C" w:rsidRPr="006C246C">
        <w:rPr>
          <w:rFonts w:cs="Times New Roman"/>
          <w:color w:val="00B050"/>
          <w:lang w:val="en-GB"/>
        </w:rPr>
        <w:t>, Cohen and Cavaliere</w:t>
      </w:r>
      <w:r w:rsidR="00E239E1" w:rsidRPr="006C246C">
        <w:rPr>
          <w:rFonts w:cs="Times New Roman"/>
          <w:color w:val="00B050"/>
          <w:lang w:val="en-GB"/>
        </w:rPr>
        <w:t>,</w:t>
      </w:r>
      <w:r w:rsidR="00471CCB" w:rsidRPr="006C246C">
        <w:rPr>
          <w:rFonts w:cs="Times New Roman"/>
          <w:color w:val="00B050"/>
          <w:lang w:val="en-GB"/>
        </w:rPr>
        <w:t xml:space="preserve"> 201</w:t>
      </w:r>
      <w:r w:rsidR="006C246C" w:rsidRPr="006C246C">
        <w:rPr>
          <w:rFonts w:cs="Times New Roman"/>
          <w:color w:val="00B050"/>
          <w:lang w:val="en-GB"/>
        </w:rPr>
        <w:t>3</w:t>
      </w:r>
      <w:r w:rsidR="00471CCB" w:rsidRPr="006C246C">
        <w:rPr>
          <w:rFonts w:cs="Times New Roman"/>
          <w:color w:val="00B050"/>
          <w:lang w:val="en-GB"/>
        </w:rPr>
        <w:t>; Kroesen, 2013</w:t>
      </w:r>
      <w:r w:rsidR="00471CCB" w:rsidRPr="00D44766">
        <w:rPr>
          <w:rFonts w:cs="Times New Roman"/>
          <w:lang w:val="en-GB"/>
        </w:rPr>
        <w:t xml:space="preserve">). One explanation here is given by </w:t>
      </w:r>
      <w:r w:rsidR="00471CCB" w:rsidRPr="006C246C">
        <w:rPr>
          <w:rFonts w:cs="Times New Roman"/>
          <w:color w:val="00B050"/>
          <w:lang w:val="en-GB"/>
        </w:rPr>
        <w:t>Higham</w:t>
      </w:r>
      <w:r w:rsidR="007079DF" w:rsidRPr="006C246C">
        <w:rPr>
          <w:rFonts w:cs="Times New Roman"/>
          <w:color w:val="00B050"/>
          <w:lang w:val="en-GB"/>
        </w:rPr>
        <w:t xml:space="preserve">, </w:t>
      </w:r>
      <w:bookmarkStart w:id="47" w:name="_Hlk142408726"/>
      <w:r w:rsidR="007079DF" w:rsidRPr="006C246C">
        <w:rPr>
          <w:rFonts w:cs="Times New Roman"/>
          <w:color w:val="00B050"/>
          <w:lang w:val="en-GB"/>
        </w:rPr>
        <w:t>Cohen and Cavaliere</w:t>
      </w:r>
      <w:r w:rsidR="00471CCB" w:rsidRPr="006C246C">
        <w:rPr>
          <w:rFonts w:cs="Times New Roman"/>
          <w:color w:val="00B050"/>
          <w:lang w:val="en-GB"/>
        </w:rPr>
        <w:t xml:space="preserve"> </w:t>
      </w:r>
      <w:bookmarkEnd w:id="47"/>
      <w:r w:rsidR="00471CCB" w:rsidRPr="006C246C">
        <w:rPr>
          <w:rFonts w:cs="Times New Roman"/>
          <w:color w:val="00B050"/>
          <w:lang w:val="en-GB"/>
        </w:rPr>
        <w:t>(201</w:t>
      </w:r>
      <w:r w:rsidR="007079DF" w:rsidRPr="006C246C">
        <w:rPr>
          <w:rFonts w:cs="Times New Roman"/>
          <w:color w:val="00B050"/>
          <w:lang w:val="en-GB"/>
        </w:rPr>
        <w:t>3</w:t>
      </w:r>
      <w:r w:rsidR="00471CCB" w:rsidRPr="006C246C">
        <w:rPr>
          <w:rFonts w:cs="Times New Roman"/>
          <w:color w:val="00B050"/>
          <w:lang w:val="en-GB"/>
        </w:rPr>
        <w:t>)</w:t>
      </w:r>
      <w:r w:rsidR="00471CCB" w:rsidRPr="00D44766">
        <w:rPr>
          <w:rFonts w:cs="Times New Roman"/>
          <w:lang w:val="en-GB"/>
        </w:rPr>
        <w:t xml:space="preserve"> who believes that travel</w:t>
      </w:r>
      <w:r w:rsidR="00E83FC1">
        <w:rPr>
          <w:rFonts w:cs="Times New Roman"/>
          <w:lang w:val="en-GB"/>
        </w:rPr>
        <w:t>l</w:t>
      </w:r>
      <w:r w:rsidR="00471CCB" w:rsidRPr="00D44766">
        <w:rPr>
          <w:rFonts w:cs="Times New Roman"/>
          <w:lang w:val="en-GB"/>
        </w:rPr>
        <w:t>ers simply cannot connect their own beha</w:t>
      </w:r>
      <w:r w:rsidR="00151DE7">
        <w:rPr>
          <w:rFonts w:cs="Times New Roman"/>
          <w:lang w:val="en-GB"/>
        </w:rPr>
        <w:t>-</w:t>
      </w:r>
      <w:r w:rsidR="00471CCB" w:rsidRPr="00D44766">
        <w:rPr>
          <w:rFonts w:cs="Times New Roman"/>
          <w:lang w:val="en-GB"/>
        </w:rPr>
        <w:lastRenderedPageBreak/>
        <w:t xml:space="preserve">viour to the overall outcome and </w:t>
      </w:r>
      <w:r w:rsidR="00471CCB" w:rsidRPr="006C246C">
        <w:rPr>
          <w:rFonts w:cs="Times New Roman"/>
          <w:color w:val="00B050"/>
          <w:lang w:val="en-GB"/>
        </w:rPr>
        <w:t>Juvan and Dolnicar (2014)</w:t>
      </w:r>
      <w:r w:rsidR="00471CCB" w:rsidRPr="00D44766">
        <w:rPr>
          <w:rFonts w:cs="Times New Roman"/>
          <w:lang w:val="en-GB"/>
        </w:rPr>
        <w:t xml:space="preserve"> add, that the own impact cannot be judged properly and otherwise ecologically responsible behaviour (</w:t>
      </w:r>
      <w:r w:rsidR="00E239E1" w:rsidRPr="00D44766">
        <w:rPr>
          <w:rFonts w:cs="Times New Roman"/>
          <w:lang w:val="en-GB"/>
        </w:rPr>
        <w:t>e.g.,</w:t>
      </w:r>
      <w:r w:rsidR="00471CCB" w:rsidRPr="00D44766">
        <w:rPr>
          <w:rFonts w:cs="Times New Roman"/>
          <w:lang w:val="en-GB"/>
        </w:rPr>
        <w:t xml:space="preserve"> at home) is being over-emphasized</w:t>
      </w:r>
      <w:r w:rsidR="00161AE5" w:rsidRPr="00D44766">
        <w:rPr>
          <w:rFonts w:cs="Times New Roman"/>
          <w:lang w:val="en-GB"/>
        </w:rPr>
        <w:t xml:space="preserve">. Moreover, the impact during the actual holiday is also unknown relative to daily behaviours at home leading to an unwillingness to actually change behaviour during the holiday </w:t>
      </w:r>
      <w:r w:rsidR="00161AE5" w:rsidRPr="006C246C">
        <w:rPr>
          <w:rFonts w:cs="Times New Roman"/>
          <w:color w:val="00B050"/>
          <w:lang w:val="en-GB"/>
        </w:rPr>
        <w:t>(Miller</w:t>
      </w:r>
      <w:r w:rsidR="00CB7E21">
        <w:rPr>
          <w:rFonts w:cs="Times New Roman"/>
          <w:color w:val="00B050"/>
          <w:lang w:val="en-GB"/>
        </w:rPr>
        <w:t xml:space="preserve"> et al.</w:t>
      </w:r>
      <w:r w:rsidR="00161AE5" w:rsidRPr="006C246C">
        <w:rPr>
          <w:rFonts w:cs="Times New Roman"/>
          <w:color w:val="00B050"/>
          <w:lang w:val="en-GB"/>
        </w:rPr>
        <w:t>, 2010).</w:t>
      </w:r>
      <w:r w:rsidR="00161AE5" w:rsidRPr="00D44766">
        <w:rPr>
          <w:rFonts w:cs="Times New Roman"/>
          <w:lang w:val="en-GB"/>
        </w:rPr>
        <w:t xml:space="preserve"> </w:t>
      </w:r>
      <w:r w:rsidR="00E239E1" w:rsidRPr="00D44766">
        <w:rPr>
          <w:rFonts w:cs="Times New Roman"/>
          <w:lang w:val="en-GB"/>
        </w:rPr>
        <w:t>So,</w:t>
      </w:r>
      <w:r w:rsidR="00161AE5" w:rsidRPr="00D44766">
        <w:rPr>
          <w:rFonts w:cs="Times New Roman"/>
          <w:lang w:val="en-GB"/>
        </w:rPr>
        <w:t xml:space="preserve"> using the plane to go on holidays is being justified by the responsible behaviour displayed at home (</w:t>
      </w:r>
      <w:r w:rsidR="00161AE5" w:rsidRPr="006C246C">
        <w:rPr>
          <w:rFonts w:cs="Times New Roman"/>
          <w:color w:val="00B050"/>
          <w:lang w:val="en-GB"/>
        </w:rPr>
        <w:t>Miller et al., 2010</w:t>
      </w:r>
      <w:r w:rsidR="00161AE5" w:rsidRPr="00D44766">
        <w:rPr>
          <w:rFonts w:cs="Times New Roman"/>
          <w:lang w:val="en-GB"/>
        </w:rPr>
        <w:t xml:space="preserve">). </w:t>
      </w:r>
      <w:r w:rsidR="00161AE5" w:rsidRPr="006C246C">
        <w:rPr>
          <w:rFonts w:cs="Times New Roman"/>
          <w:color w:val="00B050"/>
          <w:lang w:val="en-GB"/>
        </w:rPr>
        <w:t>Kaiser</w:t>
      </w:r>
      <w:r w:rsidR="006C246C" w:rsidRPr="006C246C">
        <w:rPr>
          <w:rFonts w:cs="Times New Roman"/>
          <w:color w:val="00B050"/>
          <w:lang w:val="en-GB"/>
        </w:rPr>
        <w:t>, Byrka and Hartig</w:t>
      </w:r>
      <w:r w:rsidR="00161AE5" w:rsidRPr="006C246C">
        <w:rPr>
          <w:rFonts w:cs="Times New Roman"/>
          <w:color w:val="00B050"/>
          <w:lang w:val="en-GB"/>
        </w:rPr>
        <w:t xml:space="preserve"> (2010</w:t>
      </w:r>
      <w:r w:rsidR="00161AE5" w:rsidRPr="00D44766">
        <w:rPr>
          <w:rFonts w:cs="Times New Roman"/>
          <w:lang w:val="en-GB"/>
        </w:rPr>
        <w:t>) explain this attitude-behaviour gap as a result of the relative cost of performing the alternative behaviour. Waiving flying could mean</w:t>
      </w:r>
      <w:r w:rsidR="00872D24">
        <w:rPr>
          <w:rFonts w:cs="Times New Roman"/>
          <w:lang w:val="en-GB"/>
        </w:rPr>
        <w:t xml:space="preserve"> a</w:t>
      </w:r>
      <w:r w:rsidR="00161AE5" w:rsidRPr="00D44766">
        <w:rPr>
          <w:rFonts w:cs="Times New Roman"/>
          <w:lang w:val="en-GB"/>
        </w:rPr>
        <w:t xml:space="preserve"> change in </w:t>
      </w:r>
      <w:r w:rsidR="00872D24">
        <w:rPr>
          <w:rFonts w:cs="Times New Roman"/>
          <w:lang w:val="en-GB"/>
        </w:rPr>
        <w:t xml:space="preserve">holiday </w:t>
      </w:r>
      <w:r w:rsidR="00161AE5" w:rsidRPr="00D44766">
        <w:rPr>
          <w:rFonts w:cs="Times New Roman"/>
          <w:lang w:val="en-GB"/>
        </w:rPr>
        <w:t>destination, longer transportation time</w:t>
      </w:r>
      <w:r w:rsidR="00B00274" w:rsidRPr="00D44766">
        <w:rPr>
          <w:rFonts w:cs="Times New Roman"/>
          <w:lang w:val="en-GB"/>
        </w:rPr>
        <w:t>,</w:t>
      </w:r>
      <w:r w:rsidR="00161AE5" w:rsidRPr="00D44766">
        <w:rPr>
          <w:rFonts w:cs="Times New Roman"/>
          <w:lang w:val="en-GB"/>
        </w:rPr>
        <w:t xml:space="preserve"> </w:t>
      </w:r>
      <w:r w:rsidR="00B00274" w:rsidRPr="00D44766">
        <w:rPr>
          <w:rFonts w:cs="Times New Roman"/>
          <w:lang w:val="en-GB"/>
        </w:rPr>
        <w:t>etc.</w:t>
      </w:r>
      <w:r w:rsidR="00161AE5" w:rsidRPr="00D44766">
        <w:rPr>
          <w:rFonts w:cs="Times New Roman"/>
          <w:lang w:val="en-GB"/>
        </w:rPr>
        <w:t>– the level of sacrifice might simply be too high to change behaviour. Time spen</w:t>
      </w:r>
      <w:r w:rsidR="00E239E1">
        <w:rPr>
          <w:rFonts w:cs="Times New Roman"/>
          <w:lang w:val="en-GB"/>
        </w:rPr>
        <w:t>t</w:t>
      </w:r>
      <w:r w:rsidR="00161AE5" w:rsidRPr="00D44766">
        <w:rPr>
          <w:rFonts w:cs="Times New Roman"/>
          <w:lang w:val="en-GB"/>
        </w:rPr>
        <w:t xml:space="preserve"> on research, commitment and loss of convenience do play a more important role than the financial involvement for the alternative (</w:t>
      </w:r>
      <w:r w:rsidR="00161AE5" w:rsidRPr="006C246C">
        <w:rPr>
          <w:rFonts w:cs="Times New Roman"/>
          <w:color w:val="00B050"/>
          <w:lang w:val="en-GB"/>
        </w:rPr>
        <w:t>Ganlgmair-Wooliscroft and Wooliscroft, 2016</w:t>
      </w:r>
      <w:r w:rsidR="00161AE5" w:rsidRPr="00D44766">
        <w:rPr>
          <w:rFonts w:cs="Times New Roman"/>
          <w:lang w:val="en-GB"/>
        </w:rPr>
        <w:t xml:space="preserve">). The phenomenon is well documented and </w:t>
      </w:r>
      <w:r w:rsidR="00161AE5" w:rsidRPr="003D526C">
        <w:rPr>
          <w:rFonts w:cs="Times New Roman"/>
          <w:color w:val="00B050"/>
          <w:lang w:val="en-GB"/>
        </w:rPr>
        <w:t>Davies</w:t>
      </w:r>
      <w:r w:rsidR="003D526C" w:rsidRPr="003D526C">
        <w:rPr>
          <w:rFonts w:cs="Times New Roman"/>
          <w:color w:val="00B050"/>
          <w:lang w:val="en-GB"/>
        </w:rPr>
        <w:t>, Lee and Ahonkhai</w:t>
      </w:r>
      <w:r w:rsidR="00161AE5" w:rsidRPr="003D526C">
        <w:rPr>
          <w:rFonts w:cs="Times New Roman"/>
          <w:color w:val="00B050"/>
          <w:lang w:val="en-GB"/>
        </w:rPr>
        <w:t xml:space="preserve"> (2012)</w:t>
      </w:r>
      <w:r w:rsidR="00161AE5" w:rsidRPr="00D44766">
        <w:rPr>
          <w:rFonts w:cs="Times New Roman"/>
          <w:lang w:val="en-GB"/>
        </w:rPr>
        <w:t xml:space="preserve"> name that about 30% of consumer who state to be ethically oriented, do not display congruent purchasing behaviour</w:t>
      </w:r>
      <w:r w:rsidR="00B00274" w:rsidRPr="00D44766">
        <w:rPr>
          <w:rFonts w:cs="Times New Roman"/>
          <w:lang w:val="en-GB"/>
        </w:rPr>
        <w:t>.</w:t>
      </w:r>
      <w:r w:rsidR="00161AE5" w:rsidRPr="00D44766">
        <w:rPr>
          <w:rFonts w:cs="Times New Roman"/>
          <w:lang w:val="en-GB"/>
        </w:rPr>
        <w:t xml:space="preserve"> </w:t>
      </w:r>
    </w:p>
    <w:p w14:paraId="0D5526BA" w14:textId="4C732977" w:rsidR="00161AE5" w:rsidRPr="00D44766" w:rsidRDefault="00161AE5" w:rsidP="002E26E0">
      <w:pPr>
        <w:contextualSpacing/>
        <w:rPr>
          <w:rFonts w:cs="Times New Roman"/>
          <w:lang w:val="en-GB"/>
        </w:rPr>
      </w:pPr>
      <w:r w:rsidRPr="00D44766">
        <w:rPr>
          <w:rFonts w:cs="Times New Roman"/>
          <w:lang w:val="en-GB"/>
        </w:rPr>
        <w:t xml:space="preserve">Concluding here, attitudes towards CSR activities of companies are plentiful and vary strongly based on a number of </w:t>
      </w:r>
      <w:r w:rsidR="00E239E1" w:rsidRPr="00D44766">
        <w:rPr>
          <w:rFonts w:cs="Times New Roman"/>
          <w:lang w:val="en-GB"/>
        </w:rPr>
        <w:t>distinct factors</w:t>
      </w:r>
      <w:r w:rsidRPr="00D44766">
        <w:rPr>
          <w:rFonts w:cs="Times New Roman"/>
          <w:lang w:val="en-GB"/>
        </w:rPr>
        <w:t xml:space="preserve"> – making it harder for companies to deliver meaningful and accepted CSR activities</w:t>
      </w:r>
      <w:r w:rsidR="00B00274" w:rsidRPr="00D44766">
        <w:rPr>
          <w:rFonts w:cs="Times New Roman"/>
          <w:lang w:val="en-GB"/>
        </w:rPr>
        <w:t xml:space="preserve">. </w:t>
      </w:r>
      <w:r w:rsidR="00DB6F01" w:rsidRPr="00D44766">
        <w:rPr>
          <w:rFonts w:cs="Times New Roman"/>
          <w:lang w:val="en-GB"/>
        </w:rPr>
        <w:t xml:space="preserve">Especially for the travel and tourism industry, existing studies indicate that while planning and deciding for holidays CSR and sustainable aspects are not being considered – it rather seems the opposite. </w:t>
      </w:r>
      <w:r w:rsidR="00E239E1" w:rsidRPr="00D44766">
        <w:rPr>
          <w:rFonts w:cs="Times New Roman"/>
          <w:lang w:val="en-GB"/>
        </w:rPr>
        <w:t>So,</w:t>
      </w:r>
      <w:r w:rsidR="00DB6F01" w:rsidRPr="00D44766">
        <w:rPr>
          <w:rFonts w:cs="Times New Roman"/>
          <w:lang w:val="en-GB"/>
        </w:rPr>
        <w:t xml:space="preserve"> the questions </w:t>
      </w:r>
      <w:r w:rsidR="00A2358C" w:rsidRPr="00D44766">
        <w:rPr>
          <w:rFonts w:cs="Times New Roman"/>
          <w:lang w:val="en-GB"/>
        </w:rPr>
        <w:t>arise</w:t>
      </w:r>
      <w:r w:rsidR="00DB6F01" w:rsidRPr="00D44766">
        <w:rPr>
          <w:rFonts w:cs="Times New Roman"/>
          <w:lang w:val="en-GB"/>
        </w:rPr>
        <w:t xml:space="preserve"> why should travel and tourism companies actually voluntarily invest into CSR activities if the clients eventually do not seem to care. </w:t>
      </w:r>
    </w:p>
    <w:p w14:paraId="3F655009" w14:textId="1AF0C148" w:rsidR="002150D1" w:rsidRPr="00D44766" w:rsidRDefault="00AE26EB" w:rsidP="002E26E0">
      <w:pPr>
        <w:pStyle w:val="berschrift2"/>
        <w:contextualSpacing/>
        <w:rPr>
          <w:lang w:val="en-GB"/>
        </w:rPr>
      </w:pPr>
      <w:bookmarkStart w:id="48" w:name="_Toc143330989"/>
      <w:bookmarkStart w:id="49" w:name="_Toc143361656"/>
      <w:r>
        <w:rPr>
          <w:lang w:val="en-GB"/>
        </w:rPr>
        <w:t>3</w:t>
      </w:r>
      <w:r w:rsidR="002D07AA">
        <w:rPr>
          <w:lang w:val="en-GB"/>
        </w:rPr>
        <w:t xml:space="preserve">.4. </w:t>
      </w:r>
      <w:r w:rsidR="002150D1" w:rsidRPr="00D44766">
        <w:rPr>
          <w:lang w:val="en-GB"/>
        </w:rPr>
        <w:t>CSR</w:t>
      </w:r>
      <w:r w:rsidR="00DB6F01" w:rsidRPr="00D44766">
        <w:rPr>
          <w:lang w:val="en-GB"/>
        </w:rPr>
        <w:t xml:space="preserve"> and sustainability</w:t>
      </w:r>
      <w:r w:rsidR="002150D1" w:rsidRPr="00D44766">
        <w:rPr>
          <w:lang w:val="en-GB"/>
        </w:rPr>
        <w:t xml:space="preserve"> in the luxury </w:t>
      </w:r>
      <w:r w:rsidR="00E96FF9" w:rsidRPr="00D44766">
        <w:rPr>
          <w:lang w:val="en-GB"/>
        </w:rPr>
        <w:t>(</w:t>
      </w:r>
      <w:r w:rsidR="002150D1" w:rsidRPr="00D44766">
        <w:rPr>
          <w:lang w:val="en-GB"/>
        </w:rPr>
        <w:t>tourism</w:t>
      </w:r>
      <w:r w:rsidR="00E96FF9" w:rsidRPr="00D44766">
        <w:rPr>
          <w:lang w:val="en-GB"/>
        </w:rPr>
        <w:t>)</w:t>
      </w:r>
      <w:r w:rsidR="002150D1" w:rsidRPr="00D44766">
        <w:rPr>
          <w:lang w:val="en-GB"/>
        </w:rPr>
        <w:t xml:space="preserve"> industry</w:t>
      </w:r>
      <w:r w:rsidR="00C8380C" w:rsidRPr="00D44766">
        <w:rPr>
          <w:lang w:val="en-GB"/>
        </w:rPr>
        <w:t>: an oxymoron</w:t>
      </w:r>
      <w:r w:rsidR="00C524A9" w:rsidRPr="00D44766">
        <w:rPr>
          <w:lang w:val="en-GB"/>
        </w:rPr>
        <w:t xml:space="preserve"> or congruent concepts</w:t>
      </w:r>
      <w:r w:rsidR="00C8380C" w:rsidRPr="00D44766">
        <w:rPr>
          <w:lang w:val="en-GB"/>
        </w:rPr>
        <w:t>?</w:t>
      </w:r>
      <w:bookmarkEnd w:id="48"/>
      <w:bookmarkEnd w:id="49"/>
      <w:r w:rsidR="00736BD1" w:rsidRPr="00D44766">
        <w:rPr>
          <w:lang w:val="en-GB"/>
        </w:rPr>
        <w:t xml:space="preserve"> </w:t>
      </w:r>
    </w:p>
    <w:p w14:paraId="601F5F73" w14:textId="06E87060" w:rsidR="00482358" w:rsidRPr="00D44766" w:rsidRDefault="00736BD1" w:rsidP="002E26E0">
      <w:pPr>
        <w:contextualSpacing/>
        <w:rPr>
          <w:lang w:val="en-GB"/>
        </w:rPr>
      </w:pPr>
      <w:r w:rsidRPr="00D44766">
        <w:rPr>
          <w:lang w:val="en-GB"/>
        </w:rPr>
        <w:t>Research on CSR in a luxury environment is mostly la</w:t>
      </w:r>
      <w:r w:rsidR="004631D1">
        <w:rPr>
          <w:lang w:val="en-GB"/>
        </w:rPr>
        <w:t>ck</w:t>
      </w:r>
      <w:r w:rsidRPr="00D44766">
        <w:rPr>
          <w:lang w:val="en-GB"/>
        </w:rPr>
        <w:t>ing (</w:t>
      </w:r>
      <w:r w:rsidRPr="009F18EC">
        <w:rPr>
          <w:color w:val="00B050"/>
          <w:lang w:val="en-GB"/>
        </w:rPr>
        <w:t>Vock, 2022</w:t>
      </w:r>
      <w:r w:rsidRPr="00D44766">
        <w:rPr>
          <w:lang w:val="en-GB"/>
        </w:rPr>
        <w:t xml:space="preserve">) – especially, </w:t>
      </w:r>
      <w:r w:rsidR="00E87B42" w:rsidRPr="00D44766">
        <w:rPr>
          <w:lang w:val="en-GB"/>
        </w:rPr>
        <w:t>concerning</w:t>
      </w:r>
      <w:r w:rsidRPr="00D44766">
        <w:rPr>
          <w:lang w:val="en-GB"/>
        </w:rPr>
        <w:t xml:space="preserve"> consumers</w:t>
      </w:r>
      <w:r w:rsidR="00E87B42" w:rsidRPr="00D44766">
        <w:rPr>
          <w:lang w:val="en-GB"/>
        </w:rPr>
        <w:t xml:space="preserve"> </w:t>
      </w:r>
      <w:r w:rsidRPr="00D44766">
        <w:rPr>
          <w:lang w:val="en-GB"/>
        </w:rPr>
        <w:t>evaluation</w:t>
      </w:r>
      <w:r w:rsidR="00E87B42" w:rsidRPr="00D44766">
        <w:rPr>
          <w:lang w:val="en-GB"/>
        </w:rPr>
        <w:t>s</w:t>
      </w:r>
      <w:r w:rsidRPr="00D44766">
        <w:rPr>
          <w:lang w:val="en-GB"/>
        </w:rPr>
        <w:t xml:space="preserve"> and response</w:t>
      </w:r>
      <w:r w:rsidR="00E87B42" w:rsidRPr="00D44766">
        <w:rPr>
          <w:lang w:val="en-GB"/>
        </w:rPr>
        <w:t>s</w:t>
      </w:r>
      <w:r w:rsidRPr="00D44766">
        <w:rPr>
          <w:lang w:val="en-GB"/>
        </w:rPr>
        <w:t xml:space="preserve"> to CSR in this </w:t>
      </w:r>
      <w:r w:rsidR="00E20CC5" w:rsidRPr="00D44766">
        <w:rPr>
          <w:lang w:val="en-GB"/>
        </w:rPr>
        <w:t>particular</w:t>
      </w:r>
      <w:r w:rsidRPr="00D44766">
        <w:rPr>
          <w:lang w:val="en-GB"/>
        </w:rPr>
        <w:t xml:space="preserve"> environment. </w:t>
      </w:r>
      <w:r w:rsidR="00D0569C" w:rsidRPr="00D44766">
        <w:rPr>
          <w:lang w:val="en-GB"/>
        </w:rPr>
        <w:t>Not only with reference to the luxury tourism industry but also to the g</w:t>
      </w:r>
      <w:r w:rsidR="00E87B42" w:rsidRPr="00D44766">
        <w:rPr>
          <w:lang w:val="en-GB"/>
        </w:rPr>
        <w:t>reater</w:t>
      </w:r>
      <w:r w:rsidR="00D0569C" w:rsidRPr="00D44766">
        <w:rPr>
          <w:lang w:val="en-GB"/>
        </w:rPr>
        <w:t xml:space="preserve"> luxury market</w:t>
      </w:r>
      <w:r w:rsidR="00ED6862">
        <w:rPr>
          <w:lang w:val="en-GB"/>
        </w:rPr>
        <w:t>,</w:t>
      </w:r>
      <w:r w:rsidR="00D0569C" w:rsidRPr="00D44766">
        <w:rPr>
          <w:lang w:val="en-GB"/>
        </w:rPr>
        <w:t xml:space="preserve"> there is a debate in the literature as to whether luxury and sustainability are two opposite end</w:t>
      </w:r>
      <w:r w:rsidR="00E20CC5" w:rsidRPr="00D44766">
        <w:rPr>
          <w:lang w:val="en-GB"/>
        </w:rPr>
        <w:t>s to</w:t>
      </w:r>
      <w:r w:rsidR="00D0569C" w:rsidRPr="00D44766">
        <w:rPr>
          <w:lang w:val="en-GB"/>
        </w:rPr>
        <w:t xml:space="preserve"> a scale</w:t>
      </w:r>
      <w:r w:rsidR="002B012C" w:rsidRPr="00D44766">
        <w:rPr>
          <w:lang w:val="en-GB"/>
        </w:rPr>
        <w:t xml:space="preserve"> (</w:t>
      </w:r>
      <w:r w:rsidR="002B012C" w:rsidRPr="009F18EC">
        <w:rPr>
          <w:rFonts w:cs="Times New Roman"/>
          <w:color w:val="00B050"/>
          <w:szCs w:val="24"/>
          <w:shd w:val="clear" w:color="auto" w:fill="FFFFFF"/>
          <w:lang w:val="en-GB"/>
        </w:rPr>
        <w:t>Achabou and Dekhili, 2013; Davies, Lee and Ahonkhai, 2012</w:t>
      </w:r>
      <w:r w:rsidR="002B012C" w:rsidRPr="00D44766">
        <w:rPr>
          <w:rFonts w:cs="Times New Roman"/>
          <w:szCs w:val="24"/>
          <w:shd w:val="clear" w:color="auto" w:fill="FFFFFF"/>
          <w:lang w:val="en-GB"/>
        </w:rPr>
        <w:t xml:space="preserve">; </w:t>
      </w:r>
      <w:r w:rsidR="002B012C" w:rsidRPr="009F18EC">
        <w:rPr>
          <w:rFonts w:cs="Times New Roman"/>
          <w:color w:val="00B050"/>
          <w:szCs w:val="24"/>
          <w:shd w:val="clear" w:color="auto" w:fill="FFFFFF"/>
          <w:lang w:val="en-GB"/>
        </w:rPr>
        <w:t>Kapferer and Michaut-Denizeau 2014</w:t>
      </w:r>
      <w:r w:rsidR="0094398B" w:rsidRPr="009F18EC">
        <w:rPr>
          <w:rFonts w:cs="Times New Roman"/>
          <w:color w:val="00B050"/>
          <w:szCs w:val="24"/>
          <w:shd w:val="clear" w:color="auto" w:fill="FFFFFF"/>
          <w:lang w:val="en-GB"/>
        </w:rPr>
        <w:t>)</w:t>
      </w:r>
      <w:r w:rsidRPr="00D44766">
        <w:rPr>
          <w:rFonts w:cs="Times New Roman"/>
          <w:szCs w:val="24"/>
          <w:shd w:val="clear" w:color="auto" w:fill="FFFFFF"/>
          <w:lang w:val="en-GB"/>
        </w:rPr>
        <w:t xml:space="preserve"> </w:t>
      </w:r>
      <w:r w:rsidRPr="00D44766">
        <w:rPr>
          <w:lang w:val="en-GB"/>
        </w:rPr>
        <w:t xml:space="preserve">and </w:t>
      </w:r>
      <w:r w:rsidR="00E20CC5" w:rsidRPr="00D44766">
        <w:rPr>
          <w:lang w:val="en-GB"/>
        </w:rPr>
        <w:t xml:space="preserve">if </w:t>
      </w:r>
      <w:r w:rsidRPr="00D44766">
        <w:rPr>
          <w:lang w:val="en-GB"/>
        </w:rPr>
        <w:t xml:space="preserve">CSR </w:t>
      </w:r>
      <w:r w:rsidR="00E87B42" w:rsidRPr="00D44766">
        <w:rPr>
          <w:lang w:val="en-GB"/>
        </w:rPr>
        <w:t xml:space="preserve">activities </w:t>
      </w:r>
      <w:r w:rsidRPr="00D44766">
        <w:rPr>
          <w:lang w:val="en-GB"/>
        </w:rPr>
        <w:t>can even backfire</w:t>
      </w:r>
      <w:r w:rsidRPr="00D44766">
        <w:rPr>
          <w:rFonts w:cs="Times New Roman"/>
          <w:szCs w:val="24"/>
          <w:shd w:val="clear" w:color="auto" w:fill="FFFFFF"/>
          <w:lang w:val="en-GB"/>
        </w:rPr>
        <w:t xml:space="preserve"> (</w:t>
      </w:r>
      <w:r w:rsidRPr="009F18EC">
        <w:rPr>
          <w:rFonts w:cs="Times New Roman"/>
          <w:color w:val="00B050"/>
          <w:lang w:val="en-GB"/>
        </w:rPr>
        <w:t>Achabout and Dekhili, 2013; Torelli</w:t>
      </w:r>
      <w:r w:rsidR="009F18EC" w:rsidRPr="009F18EC">
        <w:rPr>
          <w:rFonts w:cs="Times New Roman"/>
          <w:color w:val="00B050"/>
          <w:lang w:val="en-GB"/>
        </w:rPr>
        <w:t>, Monga and Kaikati</w:t>
      </w:r>
      <w:r w:rsidRPr="009F18EC">
        <w:rPr>
          <w:rFonts w:cs="Times New Roman"/>
          <w:color w:val="00B050"/>
          <w:lang w:val="en-GB"/>
        </w:rPr>
        <w:t>, 2012; Wong and Dhanesh, 2017</w:t>
      </w:r>
      <w:r w:rsidRPr="00D44766">
        <w:rPr>
          <w:rFonts w:ascii="Abadi Extra Light" w:hAnsi="Abadi Extra Light"/>
          <w:lang w:val="en-GB"/>
        </w:rPr>
        <w:t>)</w:t>
      </w:r>
      <w:r w:rsidRPr="00D44766">
        <w:rPr>
          <w:rFonts w:cs="Times New Roman"/>
          <w:szCs w:val="24"/>
          <w:shd w:val="clear" w:color="auto" w:fill="FFFFFF"/>
          <w:lang w:val="en-GB"/>
        </w:rPr>
        <w:t xml:space="preserve"> </w:t>
      </w:r>
      <w:r w:rsidR="00D0569C" w:rsidRPr="00D44766">
        <w:rPr>
          <w:lang w:val="en-GB"/>
        </w:rPr>
        <w:t>or if both concepts can actually complement each other and are to some extend congruent</w:t>
      </w:r>
      <w:r w:rsidR="002B012C" w:rsidRPr="00D44766">
        <w:rPr>
          <w:lang w:val="en-GB"/>
        </w:rPr>
        <w:t xml:space="preserve"> (</w:t>
      </w:r>
      <w:r w:rsidR="002B012C" w:rsidRPr="009F18EC">
        <w:rPr>
          <w:rFonts w:cs="Times New Roman"/>
          <w:color w:val="00B050"/>
          <w:szCs w:val="24"/>
          <w:shd w:val="clear" w:color="auto" w:fill="FFFFFF"/>
          <w:lang w:val="en-GB"/>
        </w:rPr>
        <w:t>Amatulli</w:t>
      </w:r>
      <w:r w:rsidR="009F18EC" w:rsidRPr="009F18EC">
        <w:rPr>
          <w:rFonts w:cs="Times New Roman"/>
          <w:color w:val="00B050"/>
          <w:szCs w:val="24"/>
          <w:shd w:val="clear" w:color="auto" w:fill="FFFFFF"/>
          <w:lang w:val="en-GB"/>
        </w:rPr>
        <w:t>, De Angelis, Korschun and Romani,</w:t>
      </w:r>
      <w:r w:rsidR="002B012C" w:rsidRPr="009F18EC">
        <w:rPr>
          <w:rFonts w:cs="Times New Roman"/>
          <w:color w:val="00B050"/>
          <w:szCs w:val="24"/>
          <w:shd w:val="clear" w:color="auto" w:fill="FFFFFF"/>
          <w:lang w:val="en-GB"/>
        </w:rPr>
        <w:t xml:space="preserve"> 2018; Athwal</w:t>
      </w:r>
      <w:r w:rsidR="009F18EC" w:rsidRPr="009F18EC">
        <w:rPr>
          <w:rFonts w:cs="Times New Roman"/>
          <w:color w:val="00B050"/>
          <w:szCs w:val="24"/>
          <w:shd w:val="clear" w:color="auto" w:fill="FFFFFF"/>
          <w:lang w:val="en-GB"/>
        </w:rPr>
        <w:t>, Wells, Carrigan and Henninger</w:t>
      </w:r>
      <w:r w:rsidR="002B012C" w:rsidRPr="009F18EC">
        <w:rPr>
          <w:rFonts w:cs="Times New Roman"/>
          <w:color w:val="00B050"/>
          <w:szCs w:val="24"/>
          <w:shd w:val="clear" w:color="auto" w:fill="FFFFFF"/>
          <w:lang w:val="en-GB"/>
        </w:rPr>
        <w:t>, 2019; Batat and Khochman, 202</w:t>
      </w:r>
      <w:r w:rsidR="009F18EC" w:rsidRPr="009F18EC">
        <w:rPr>
          <w:rFonts w:cs="Times New Roman"/>
          <w:color w:val="00B050"/>
          <w:szCs w:val="24"/>
          <w:shd w:val="clear" w:color="auto" w:fill="FFFFFF"/>
          <w:lang w:val="en-GB"/>
        </w:rPr>
        <w:t>1</w:t>
      </w:r>
      <w:r w:rsidR="002B012C" w:rsidRPr="00D44766">
        <w:rPr>
          <w:rFonts w:cs="Times New Roman"/>
          <w:szCs w:val="24"/>
          <w:shd w:val="clear" w:color="auto" w:fill="FFFFFF"/>
          <w:lang w:val="en-GB"/>
        </w:rPr>
        <w:t xml:space="preserve">; </w:t>
      </w:r>
      <w:r w:rsidR="002B012C" w:rsidRPr="002D004F">
        <w:rPr>
          <w:rFonts w:cs="Times New Roman"/>
          <w:color w:val="00B050"/>
          <w:szCs w:val="24"/>
          <w:shd w:val="clear" w:color="auto" w:fill="FFFFFF"/>
          <w:lang w:val="en-GB"/>
        </w:rPr>
        <w:t>Osburg</w:t>
      </w:r>
      <w:r w:rsidR="002D004F" w:rsidRPr="002D004F">
        <w:rPr>
          <w:rFonts w:cs="Times New Roman"/>
          <w:color w:val="00B050"/>
          <w:szCs w:val="24"/>
          <w:shd w:val="clear" w:color="auto" w:fill="FFFFFF"/>
          <w:lang w:val="en-GB"/>
        </w:rPr>
        <w:t>, Akhtar, Yoganathan and McLeay</w:t>
      </w:r>
      <w:r w:rsidR="002B012C" w:rsidRPr="002D004F">
        <w:rPr>
          <w:rFonts w:cs="Times New Roman"/>
          <w:color w:val="00B050"/>
          <w:szCs w:val="24"/>
          <w:shd w:val="clear" w:color="auto" w:fill="FFFFFF"/>
          <w:lang w:val="en-GB"/>
        </w:rPr>
        <w:t>, 20</w:t>
      </w:r>
      <w:r w:rsidR="0094398B" w:rsidRPr="002D004F">
        <w:rPr>
          <w:rFonts w:cs="Times New Roman"/>
          <w:color w:val="00B050"/>
          <w:szCs w:val="24"/>
          <w:shd w:val="clear" w:color="auto" w:fill="FFFFFF"/>
          <w:lang w:val="en-GB"/>
        </w:rPr>
        <w:t>19</w:t>
      </w:r>
      <w:r w:rsidR="002B012C" w:rsidRPr="002D004F">
        <w:rPr>
          <w:rFonts w:cs="Times New Roman"/>
          <w:color w:val="00B050"/>
          <w:szCs w:val="24"/>
          <w:shd w:val="clear" w:color="auto" w:fill="FFFFFF"/>
          <w:lang w:val="en-GB"/>
        </w:rPr>
        <w:t>; Venkatesh</w:t>
      </w:r>
      <w:r w:rsidR="002D004F" w:rsidRPr="002D004F">
        <w:rPr>
          <w:rFonts w:cs="Times New Roman"/>
          <w:color w:val="00B050"/>
          <w:szCs w:val="24"/>
          <w:shd w:val="clear" w:color="auto" w:fill="FFFFFF"/>
          <w:lang w:val="en-GB"/>
        </w:rPr>
        <w:t xml:space="preserve">, Joy, Sherry Jr. and Deschenes, </w:t>
      </w:r>
      <w:r w:rsidR="002B012C" w:rsidRPr="002D004F">
        <w:rPr>
          <w:rFonts w:cs="Times New Roman"/>
          <w:color w:val="00B050"/>
          <w:szCs w:val="24"/>
          <w:shd w:val="clear" w:color="auto" w:fill="FFFFFF"/>
          <w:lang w:val="en-GB"/>
        </w:rPr>
        <w:t>2010</w:t>
      </w:r>
      <w:r w:rsidR="002B012C" w:rsidRPr="002D004F">
        <w:rPr>
          <w:rFonts w:cs="Times New Roman"/>
          <w:color w:val="00B050"/>
          <w:sz w:val="20"/>
          <w:szCs w:val="20"/>
          <w:shd w:val="clear" w:color="auto" w:fill="FFFFFF"/>
          <w:lang w:val="en-GB"/>
        </w:rPr>
        <w:t>)</w:t>
      </w:r>
      <w:r w:rsidRPr="00D44766">
        <w:rPr>
          <w:rFonts w:cs="Times New Roman"/>
          <w:sz w:val="20"/>
          <w:szCs w:val="20"/>
          <w:shd w:val="clear" w:color="auto" w:fill="FFFFFF"/>
          <w:lang w:val="en-GB"/>
        </w:rPr>
        <w:t xml:space="preserve">. </w:t>
      </w:r>
      <w:r w:rsidR="00FC01BA" w:rsidRPr="00D44766">
        <w:rPr>
          <w:lang w:val="en-GB"/>
        </w:rPr>
        <w:t>As discussed in the preceding chapters – both luxury and sustainability are multi-</w:t>
      </w:r>
      <w:r w:rsidR="00FC01BA" w:rsidRPr="00D44766">
        <w:rPr>
          <w:lang w:val="en-GB"/>
        </w:rPr>
        <w:lastRenderedPageBreak/>
        <w:t>faceted concepts (</w:t>
      </w:r>
      <w:r w:rsidR="00FC01BA" w:rsidRPr="002D004F">
        <w:rPr>
          <w:color w:val="00B050"/>
          <w:lang w:val="en-GB"/>
        </w:rPr>
        <w:t>Kapferer and Michaut, 2015)</w:t>
      </w:r>
      <w:r w:rsidR="00F1794E" w:rsidRPr="002D004F">
        <w:rPr>
          <w:color w:val="00B050"/>
          <w:lang w:val="en-GB"/>
        </w:rPr>
        <w:t>.</w:t>
      </w:r>
      <w:r w:rsidR="00F1794E" w:rsidRPr="00D44766">
        <w:rPr>
          <w:lang w:val="en-GB"/>
        </w:rPr>
        <w:t xml:space="preserve"> On a first glance</w:t>
      </w:r>
      <w:r w:rsidR="00ED6862">
        <w:rPr>
          <w:lang w:val="en-GB"/>
        </w:rPr>
        <w:t>,</w:t>
      </w:r>
      <w:r w:rsidR="00F1794E" w:rsidRPr="00D44766">
        <w:rPr>
          <w:lang w:val="en-GB"/>
        </w:rPr>
        <w:t xml:space="preserve"> the concepts of luxury and sustainability seem to be everything but compatible. Luxury </w:t>
      </w:r>
      <w:r w:rsidR="002B012C" w:rsidRPr="00D44766">
        <w:rPr>
          <w:lang w:val="en-GB"/>
        </w:rPr>
        <w:t>is traditionally associated with personal pleasure, superficiality, grandiloquence and conspicuousness – whereas sustainability is associated with values such as altruism, moderation and ethics (</w:t>
      </w:r>
      <w:r w:rsidR="002B012C" w:rsidRPr="002D004F">
        <w:rPr>
          <w:rFonts w:cs="Times New Roman"/>
          <w:color w:val="00B050"/>
          <w:szCs w:val="24"/>
          <w:shd w:val="clear" w:color="auto" w:fill="FFFFFF"/>
          <w:lang w:val="en-GB"/>
        </w:rPr>
        <w:t>Amatulli</w:t>
      </w:r>
      <w:r w:rsidR="002D004F" w:rsidRPr="002D004F">
        <w:rPr>
          <w:rFonts w:cs="Times New Roman"/>
          <w:color w:val="00B050"/>
          <w:szCs w:val="24"/>
          <w:shd w:val="clear" w:color="auto" w:fill="FFFFFF"/>
          <w:lang w:val="en-GB"/>
        </w:rPr>
        <w:t>, De Angelis and Donato</w:t>
      </w:r>
      <w:r w:rsidR="002B012C" w:rsidRPr="002D004F">
        <w:rPr>
          <w:rFonts w:cs="Times New Roman"/>
          <w:color w:val="00B050"/>
          <w:szCs w:val="24"/>
          <w:shd w:val="clear" w:color="auto" w:fill="FFFFFF"/>
          <w:lang w:val="en-GB"/>
        </w:rPr>
        <w:t>, 20</w:t>
      </w:r>
      <w:r w:rsidR="002D004F" w:rsidRPr="002D004F">
        <w:rPr>
          <w:rFonts w:cs="Times New Roman"/>
          <w:color w:val="00B050"/>
          <w:szCs w:val="24"/>
          <w:shd w:val="clear" w:color="auto" w:fill="FFFFFF"/>
          <w:lang w:val="en-GB"/>
        </w:rPr>
        <w:t>19</w:t>
      </w:r>
      <w:r w:rsidR="002B012C" w:rsidRPr="00D44766">
        <w:rPr>
          <w:rFonts w:cs="Times New Roman"/>
          <w:szCs w:val="24"/>
          <w:shd w:val="clear" w:color="auto" w:fill="FFFFFF"/>
          <w:lang w:val="en-GB"/>
        </w:rPr>
        <w:t xml:space="preserve">; </w:t>
      </w:r>
      <w:r w:rsidR="002B012C" w:rsidRPr="009F18EC">
        <w:rPr>
          <w:rFonts w:cs="Times New Roman"/>
          <w:color w:val="00B050"/>
          <w:szCs w:val="24"/>
          <w:shd w:val="clear" w:color="auto" w:fill="FFFFFF"/>
          <w:lang w:val="en-GB"/>
        </w:rPr>
        <w:t>Athwal et al., 2019</w:t>
      </w:r>
      <w:r w:rsidR="002B012C" w:rsidRPr="00D44766">
        <w:rPr>
          <w:rFonts w:cs="Times New Roman"/>
          <w:szCs w:val="24"/>
          <w:shd w:val="clear" w:color="auto" w:fill="FFFFFF"/>
          <w:lang w:val="en-GB"/>
        </w:rPr>
        <w:t xml:space="preserve">; </w:t>
      </w:r>
      <w:r w:rsidR="002B012C" w:rsidRPr="009F18EC">
        <w:rPr>
          <w:rFonts w:cs="Times New Roman"/>
          <w:color w:val="00B050"/>
          <w:szCs w:val="24"/>
          <w:shd w:val="clear" w:color="auto" w:fill="FFFFFF"/>
          <w:lang w:val="en-GB"/>
        </w:rPr>
        <w:t xml:space="preserve">Batat and Khochman, </w:t>
      </w:r>
      <w:r w:rsidR="002B012C" w:rsidRPr="002D004F">
        <w:rPr>
          <w:rFonts w:cs="Times New Roman"/>
          <w:color w:val="00B050"/>
          <w:szCs w:val="24"/>
          <w:shd w:val="clear" w:color="auto" w:fill="FFFFFF"/>
          <w:lang w:val="en-GB"/>
        </w:rPr>
        <w:t>202</w:t>
      </w:r>
      <w:r w:rsidR="009F18EC" w:rsidRPr="002D004F">
        <w:rPr>
          <w:rFonts w:cs="Times New Roman"/>
          <w:color w:val="00B050"/>
          <w:szCs w:val="24"/>
          <w:shd w:val="clear" w:color="auto" w:fill="FFFFFF"/>
          <w:lang w:val="en-GB"/>
        </w:rPr>
        <w:t>1</w:t>
      </w:r>
      <w:r w:rsidR="002B012C" w:rsidRPr="002D004F">
        <w:rPr>
          <w:rFonts w:cs="Times New Roman"/>
          <w:color w:val="00B050"/>
          <w:szCs w:val="24"/>
          <w:shd w:val="clear" w:color="auto" w:fill="FFFFFF"/>
          <w:lang w:val="en-GB"/>
        </w:rPr>
        <w:t>; Naderi and Strutton, 201</w:t>
      </w:r>
      <w:r w:rsidR="002D004F" w:rsidRPr="002D004F">
        <w:rPr>
          <w:rFonts w:cs="Times New Roman"/>
          <w:color w:val="00B050"/>
          <w:szCs w:val="24"/>
          <w:shd w:val="clear" w:color="auto" w:fill="FFFFFF"/>
          <w:lang w:val="en-GB"/>
        </w:rPr>
        <w:t>3</w:t>
      </w:r>
      <w:r w:rsidR="002B012C" w:rsidRPr="002D004F">
        <w:rPr>
          <w:color w:val="00B050"/>
          <w:lang w:val="en-GB"/>
        </w:rPr>
        <w:t>)</w:t>
      </w:r>
      <w:r w:rsidR="00834269" w:rsidRPr="002D004F">
        <w:rPr>
          <w:color w:val="00B050"/>
          <w:lang w:val="en-GB"/>
        </w:rPr>
        <w:t>.</w:t>
      </w:r>
      <w:r w:rsidRPr="00D44766">
        <w:rPr>
          <w:lang w:val="en-GB"/>
        </w:rPr>
        <w:t xml:space="preserve"> Where the luxury concept is more based on a self-enhancement concept</w:t>
      </w:r>
      <w:r w:rsidR="00AE03C9" w:rsidRPr="00D44766">
        <w:rPr>
          <w:lang w:val="en-GB"/>
        </w:rPr>
        <w:t>, CSR on the contrary is more focused on a self-transcendence concept</w:t>
      </w:r>
      <w:r w:rsidR="00E87B42" w:rsidRPr="00D44766">
        <w:rPr>
          <w:lang w:val="en-GB"/>
        </w:rPr>
        <w:t xml:space="preserve">. Out of this perspective </w:t>
      </w:r>
      <w:r w:rsidR="00AE03C9" w:rsidRPr="00D44766">
        <w:rPr>
          <w:lang w:val="en-GB"/>
        </w:rPr>
        <w:t xml:space="preserve">both </w:t>
      </w:r>
      <w:r w:rsidR="00E239E1" w:rsidRPr="00D44766">
        <w:rPr>
          <w:lang w:val="en-GB"/>
        </w:rPr>
        <w:t>concepts</w:t>
      </w:r>
      <w:r w:rsidR="00AE03C9" w:rsidRPr="00D44766">
        <w:rPr>
          <w:lang w:val="en-GB"/>
        </w:rPr>
        <w:t xml:space="preserve"> </w:t>
      </w:r>
      <w:r w:rsidR="00E87B42" w:rsidRPr="00D44766">
        <w:rPr>
          <w:lang w:val="en-GB"/>
        </w:rPr>
        <w:t xml:space="preserve">seem </w:t>
      </w:r>
      <w:r w:rsidR="00AE03C9" w:rsidRPr="00D44766">
        <w:rPr>
          <w:lang w:val="en-GB"/>
        </w:rPr>
        <w:t>highly incongruent (</w:t>
      </w:r>
      <w:r w:rsidR="00AE03C9" w:rsidRPr="00D57A7E">
        <w:rPr>
          <w:color w:val="00B050"/>
          <w:lang w:val="en-GB"/>
        </w:rPr>
        <w:t>Torelli</w:t>
      </w:r>
      <w:r w:rsidR="00D57A7E" w:rsidRPr="00D57A7E">
        <w:rPr>
          <w:color w:val="00B050"/>
          <w:lang w:val="en-GB"/>
        </w:rPr>
        <w:t>, Monga and Kaikati</w:t>
      </w:r>
      <w:r w:rsidR="00AE03C9" w:rsidRPr="00D57A7E">
        <w:rPr>
          <w:color w:val="00B050"/>
          <w:lang w:val="en-GB"/>
        </w:rPr>
        <w:t>, 2012)</w:t>
      </w:r>
      <w:r w:rsidR="00AE03C9" w:rsidRPr="00D44766">
        <w:rPr>
          <w:lang w:val="en-GB"/>
        </w:rPr>
        <w:t xml:space="preserve">. </w:t>
      </w:r>
      <w:r w:rsidR="00834269" w:rsidRPr="00D57A7E">
        <w:rPr>
          <w:color w:val="00B050"/>
          <w:lang w:val="en-GB"/>
        </w:rPr>
        <w:t>Hennigs</w:t>
      </w:r>
      <w:r w:rsidR="00D57A7E" w:rsidRPr="00D57A7E">
        <w:rPr>
          <w:color w:val="00B050"/>
          <w:lang w:val="en-GB"/>
        </w:rPr>
        <w:t>, Wiedmann, Klarmann and Behrens</w:t>
      </w:r>
      <w:r w:rsidR="00834269" w:rsidRPr="00D57A7E">
        <w:rPr>
          <w:color w:val="00B050"/>
          <w:lang w:val="en-GB"/>
        </w:rPr>
        <w:t xml:space="preserve"> (2013</w:t>
      </w:r>
      <w:r w:rsidR="00834269" w:rsidRPr="00D44766">
        <w:rPr>
          <w:lang w:val="en-GB"/>
        </w:rPr>
        <w:t xml:space="preserve">) summarise that the luxury lifestyle </w:t>
      </w:r>
      <w:r w:rsidR="00E87B42" w:rsidRPr="00D44766">
        <w:rPr>
          <w:lang w:val="en-GB"/>
        </w:rPr>
        <w:t xml:space="preserve">is </w:t>
      </w:r>
      <w:r w:rsidR="00834269" w:rsidRPr="00D44766">
        <w:rPr>
          <w:lang w:val="en-GB"/>
        </w:rPr>
        <w:t>often symbolized by excess, indulgence and waste can almost be seen as anti</w:t>
      </w:r>
      <w:r w:rsidRPr="00D44766">
        <w:rPr>
          <w:lang w:val="en-GB"/>
        </w:rPr>
        <w:t>-</w:t>
      </w:r>
      <w:r w:rsidR="00834269" w:rsidRPr="00D44766">
        <w:rPr>
          <w:lang w:val="en-GB"/>
        </w:rPr>
        <w:t>ethical to the principles of sustainability</w:t>
      </w:r>
      <w:r w:rsidR="00AE03C9" w:rsidRPr="00D44766">
        <w:rPr>
          <w:lang w:val="en-GB"/>
        </w:rPr>
        <w:t>. Luxury clients have long been regarded as not wanting to concern themselves with ethical or sustainability issues while making luxury purchases – they want to spoil themselves (</w:t>
      </w:r>
      <w:r w:rsidR="00AE03C9" w:rsidRPr="00D57A7E">
        <w:rPr>
          <w:color w:val="00B050"/>
          <w:lang w:val="en-GB"/>
        </w:rPr>
        <w:t>Davies</w:t>
      </w:r>
      <w:r w:rsidR="00D57A7E" w:rsidRPr="00D57A7E">
        <w:rPr>
          <w:color w:val="00B050"/>
          <w:lang w:val="en-GB"/>
        </w:rPr>
        <w:t>, Lee and Ahonkhai</w:t>
      </w:r>
      <w:r w:rsidR="00AE03C9" w:rsidRPr="00D57A7E">
        <w:rPr>
          <w:color w:val="00B050"/>
          <w:lang w:val="en-GB"/>
        </w:rPr>
        <w:t>, 2012</w:t>
      </w:r>
      <w:r w:rsidR="00AE03C9" w:rsidRPr="00D44766">
        <w:rPr>
          <w:lang w:val="en-GB"/>
        </w:rPr>
        <w:t xml:space="preserve">) and </w:t>
      </w:r>
      <w:r w:rsidR="00E87B42" w:rsidRPr="00D44766">
        <w:rPr>
          <w:lang w:val="en-GB"/>
        </w:rPr>
        <w:t xml:space="preserve">learning </w:t>
      </w:r>
      <w:r w:rsidR="00AE03C9" w:rsidRPr="00D44766">
        <w:rPr>
          <w:lang w:val="en-GB"/>
        </w:rPr>
        <w:t xml:space="preserve">about the realities of their luxury purchases </w:t>
      </w:r>
      <w:r w:rsidR="00ED6862">
        <w:rPr>
          <w:lang w:val="en-GB"/>
        </w:rPr>
        <w:t xml:space="preserve">is </w:t>
      </w:r>
      <w:r w:rsidR="00E87B42" w:rsidRPr="00D44766">
        <w:rPr>
          <w:lang w:val="en-GB"/>
        </w:rPr>
        <w:t xml:space="preserve">likely </w:t>
      </w:r>
      <w:r w:rsidR="00ED6862">
        <w:rPr>
          <w:lang w:val="en-GB"/>
        </w:rPr>
        <w:t xml:space="preserve">to </w:t>
      </w:r>
      <w:r w:rsidR="00E87B42" w:rsidRPr="00D44766">
        <w:rPr>
          <w:lang w:val="en-GB"/>
        </w:rPr>
        <w:t>r</w:t>
      </w:r>
      <w:r w:rsidR="00AE03C9" w:rsidRPr="00D44766">
        <w:rPr>
          <w:lang w:val="en-GB"/>
        </w:rPr>
        <w:t>educe the pleasure</w:t>
      </w:r>
      <w:r w:rsidR="00ED6862">
        <w:rPr>
          <w:lang w:val="en-GB"/>
        </w:rPr>
        <w:t>s</w:t>
      </w:r>
      <w:r w:rsidR="00AE03C9" w:rsidRPr="00D44766">
        <w:rPr>
          <w:lang w:val="en-GB"/>
        </w:rPr>
        <w:t xml:space="preserve"> of th</w:t>
      </w:r>
      <w:r w:rsidR="00E87B42" w:rsidRPr="00D44766">
        <w:rPr>
          <w:lang w:val="en-GB"/>
        </w:rPr>
        <w:t>eir purchase</w:t>
      </w:r>
      <w:r w:rsidR="00AE03C9" w:rsidRPr="00D44766">
        <w:rPr>
          <w:lang w:val="en-GB"/>
        </w:rPr>
        <w:t xml:space="preserve"> (</w:t>
      </w:r>
      <w:r w:rsidR="00AE03C9" w:rsidRPr="00D57A7E">
        <w:rPr>
          <w:color w:val="00B050"/>
          <w:lang w:val="en-GB"/>
        </w:rPr>
        <w:t>Joergens, 2006).</w:t>
      </w:r>
      <w:r w:rsidR="00AE03C9" w:rsidRPr="00D44766">
        <w:rPr>
          <w:lang w:val="en-GB"/>
        </w:rPr>
        <w:t xml:space="preserve"> H</w:t>
      </w:r>
      <w:r w:rsidR="00834269" w:rsidRPr="00D44766">
        <w:rPr>
          <w:lang w:val="en-GB"/>
        </w:rPr>
        <w:t>owever, as</w:t>
      </w:r>
      <w:r w:rsidR="00E87B42" w:rsidRPr="00D44766">
        <w:rPr>
          <w:lang w:val="en-GB"/>
        </w:rPr>
        <w:t xml:space="preserve"> recent </w:t>
      </w:r>
      <w:r w:rsidR="00834269" w:rsidRPr="00D44766">
        <w:rPr>
          <w:lang w:val="en-GB"/>
        </w:rPr>
        <w:t>literature</w:t>
      </w:r>
      <w:r w:rsidR="00E87B42" w:rsidRPr="00D44766">
        <w:rPr>
          <w:lang w:val="en-GB"/>
        </w:rPr>
        <w:t xml:space="preserve"> </w:t>
      </w:r>
      <w:r w:rsidR="00E239E1" w:rsidRPr="00D44766">
        <w:rPr>
          <w:lang w:val="en-GB"/>
        </w:rPr>
        <w:t>increasingly</w:t>
      </w:r>
      <w:r w:rsidR="00834269" w:rsidRPr="00D44766">
        <w:rPr>
          <w:lang w:val="en-GB"/>
        </w:rPr>
        <w:t xml:space="preserve"> suggest</w:t>
      </w:r>
      <w:r w:rsidR="00E87B42" w:rsidRPr="00D44766">
        <w:rPr>
          <w:lang w:val="en-GB"/>
        </w:rPr>
        <w:t xml:space="preserve">, </w:t>
      </w:r>
      <w:r w:rsidR="00834269" w:rsidRPr="00D44766">
        <w:rPr>
          <w:lang w:val="en-GB"/>
        </w:rPr>
        <w:t xml:space="preserve">concerns about environmental and social aspects are rising amongst all consumers </w:t>
      </w:r>
      <w:r w:rsidR="000E74A0" w:rsidRPr="00D44766">
        <w:rPr>
          <w:lang w:val="en-GB"/>
        </w:rPr>
        <w:t>(</w:t>
      </w:r>
      <w:r w:rsidR="000E74A0" w:rsidRPr="00D57A7E">
        <w:rPr>
          <w:color w:val="00B050"/>
          <w:lang w:val="en-GB"/>
        </w:rPr>
        <w:t>Kleanthous 2011)</w:t>
      </w:r>
      <w:r w:rsidR="00E87B42" w:rsidRPr="00D44766">
        <w:rPr>
          <w:lang w:val="en-GB"/>
        </w:rPr>
        <w:t xml:space="preserve"> and</w:t>
      </w:r>
      <w:r w:rsidR="000E74A0" w:rsidRPr="00D44766">
        <w:rPr>
          <w:lang w:val="en-GB"/>
        </w:rPr>
        <w:t xml:space="preserve"> </w:t>
      </w:r>
      <w:r w:rsidR="00834269" w:rsidRPr="00D44766">
        <w:rPr>
          <w:lang w:val="en-GB"/>
        </w:rPr>
        <w:t xml:space="preserve">it does not </w:t>
      </w:r>
      <w:r w:rsidR="00E87B42" w:rsidRPr="00D44766">
        <w:rPr>
          <w:lang w:val="en-GB"/>
        </w:rPr>
        <w:t xml:space="preserve">stop at the </w:t>
      </w:r>
      <w:r w:rsidR="00834269" w:rsidRPr="00D44766">
        <w:rPr>
          <w:lang w:val="en-GB"/>
        </w:rPr>
        <w:t xml:space="preserve">luxury consumers either and thus, sustainable practices in both dimension (social and economic) are being adopted </w:t>
      </w:r>
      <w:r w:rsidR="00E20CC5" w:rsidRPr="00D44766">
        <w:rPr>
          <w:lang w:val="en-GB"/>
        </w:rPr>
        <w:t xml:space="preserve">more and more </w:t>
      </w:r>
      <w:r w:rsidR="00834269" w:rsidRPr="00D44766">
        <w:rPr>
          <w:lang w:val="en-GB"/>
        </w:rPr>
        <w:t xml:space="preserve">by the luxury industry. </w:t>
      </w:r>
      <w:r w:rsidR="000E74A0" w:rsidRPr="00D44766">
        <w:rPr>
          <w:lang w:val="en-GB"/>
        </w:rPr>
        <w:t>Throughout the luxury consumers</w:t>
      </w:r>
      <w:r w:rsidR="00E87B42" w:rsidRPr="00D44766">
        <w:rPr>
          <w:lang w:val="en-GB"/>
        </w:rPr>
        <w:t xml:space="preserve"> segment,</w:t>
      </w:r>
      <w:r w:rsidR="000E74A0" w:rsidRPr="00D44766">
        <w:rPr>
          <w:lang w:val="en-GB"/>
        </w:rPr>
        <w:t xml:space="preserve"> there seems to be a shift from “conspicuous to conscientious” consumption (</w:t>
      </w:r>
      <w:r w:rsidR="000E74A0" w:rsidRPr="00D57A7E">
        <w:rPr>
          <w:color w:val="00B050"/>
          <w:lang w:val="en-GB"/>
        </w:rPr>
        <w:t>Hennigs et al., 2013</w:t>
      </w:r>
      <w:r w:rsidR="000E74A0" w:rsidRPr="00D44766">
        <w:rPr>
          <w:lang w:val="en-GB"/>
        </w:rPr>
        <w:t>)</w:t>
      </w:r>
      <w:r w:rsidR="00077213" w:rsidRPr="00D44766">
        <w:rPr>
          <w:lang w:val="en-GB"/>
        </w:rPr>
        <w:t xml:space="preserve"> </w:t>
      </w:r>
      <w:r w:rsidR="00E20CC5" w:rsidRPr="00D44766">
        <w:rPr>
          <w:lang w:val="en-GB"/>
        </w:rPr>
        <w:t>with</w:t>
      </w:r>
      <w:r w:rsidR="00077213" w:rsidRPr="00D44766">
        <w:rPr>
          <w:lang w:val="en-GB"/>
        </w:rPr>
        <w:t xml:space="preserve"> consumers becoming increasingly aware of social and environmental issue</w:t>
      </w:r>
      <w:r w:rsidR="00ED6862">
        <w:rPr>
          <w:lang w:val="en-GB"/>
        </w:rPr>
        <w:t>s</w:t>
      </w:r>
      <w:r w:rsidR="00077213" w:rsidRPr="00D44766">
        <w:rPr>
          <w:lang w:val="en-GB"/>
        </w:rPr>
        <w:t xml:space="preserve"> (</w:t>
      </w:r>
      <w:r w:rsidR="00077213" w:rsidRPr="00D57A7E">
        <w:rPr>
          <w:color w:val="00B050"/>
          <w:lang w:val="en-GB"/>
        </w:rPr>
        <w:t>Muniz and Guzmán, 2021</w:t>
      </w:r>
      <w:r w:rsidR="00077213" w:rsidRPr="00D44766">
        <w:rPr>
          <w:lang w:val="en-GB"/>
        </w:rPr>
        <w:t>)</w:t>
      </w:r>
      <w:r w:rsidR="000E74A0" w:rsidRPr="00D44766">
        <w:rPr>
          <w:lang w:val="en-GB"/>
        </w:rPr>
        <w:t xml:space="preserve">. </w:t>
      </w:r>
      <w:r w:rsidR="007563E0" w:rsidRPr="00D44766">
        <w:rPr>
          <w:lang w:val="en-GB"/>
        </w:rPr>
        <w:t>‘In general, many luxury consumers are part of an affluent, glo</w:t>
      </w:r>
      <w:r w:rsidRPr="00D44766">
        <w:rPr>
          <w:lang w:val="en-GB"/>
        </w:rPr>
        <w:t>b</w:t>
      </w:r>
      <w:r w:rsidR="007563E0" w:rsidRPr="00D44766">
        <w:rPr>
          <w:lang w:val="en-GB"/>
        </w:rPr>
        <w:t>al élite that is increasingly educated and concerned about social and environmental issues’ (</w:t>
      </w:r>
      <w:r w:rsidR="007563E0" w:rsidRPr="00D57A7E">
        <w:rPr>
          <w:color w:val="00B050"/>
          <w:lang w:val="en-GB"/>
        </w:rPr>
        <w:t>Bendell and Kleanhous, 2007, p.2</w:t>
      </w:r>
      <w:r w:rsidR="007563E0" w:rsidRPr="00D44766">
        <w:rPr>
          <w:lang w:val="en-GB"/>
        </w:rPr>
        <w:t>)</w:t>
      </w:r>
      <w:r w:rsidR="00077213" w:rsidRPr="00D44766">
        <w:rPr>
          <w:lang w:val="en-GB"/>
        </w:rPr>
        <w:t xml:space="preserve"> and the pressure</w:t>
      </w:r>
      <w:r w:rsidR="00E87B42" w:rsidRPr="00D44766">
        <w:rPr>
          <w:lang w:val="en-GB"/>
        </w:rPr>
        <w:t xml:space="preserve"> on companies</w:t>
      </w:r>
      <w:r w:rsidR="00077213" w:rsidRPr="00D44766">
        <w:rPr>
          <w:lang w:val="en-GB"/>
        </w:rPr>
        <w:t xml:space="preserve"> to address th</w:t>
      </w:r>
      <w:r w:rsidR="00ED6862">
        <w:rPr>
          <w:lang w:val="en-GB"/>
        </w:rPr>
        <w:t>e</w:t>
      </w:r>
      <w:r w:rsidR="00077213" w:rsidRPr="00D44766">
        <w:rPr>
          <w:lang w:val="en-GB"/>
        </w:rPr>
        <w:t>se issue</w:t>
      </w:r>
      <w:r w:rsidR="00ED6862">
        <w:rPr>
          <w:lang w:val="en-GB"/>
        </w:rPr>
        <w:t>s</w:t>
      </w:r>
      <w:r w:rsidR="00077213" w:rsidRPr="00D44766">
        <w:rPr>
          <w:lang w:val="en-GB"/>
        </w:rPr>
        <w:t xml:space="preserve"> is rising (</w:t>
      </w:r>
      <w:r w:rsidR="00077213" w:rsidRPr="00D57A7E">
        <w:rPr>
          <w:color w:val="00B050"/>
          <w:lang w:val="en-GB"/>
        </w:rPr>
        <w:t>Amatulli et al., 2018; Davies</w:t>
      </w:r>
      <w:r w:rsidR="00D57A7E" w:rsidRPr="00D57A7E">
        <w:rPr>
          <w:color w:val="00B050"/>
          <w:lang w:val="en-GB"/>
        </w:rPr>
        <w:t>, Lee and Ahonkhai</w:t>
      </w:r>
      <w:r w:rsidR="00077213" w:rsidRPr="00D57A7E">
        <w:rPr>
          <w:color w:val="00B050"/>
          <w:lang w:val="en-GB"/>
        </w:rPr>
        <w:t>, 2012; Janssen</w:t>
      </w:r>
      <w:r w:rsidR="00D57A7E" w:rsidRPr="00D57A7E">
        <w:rPr>
          <w:color w:val="00B050"/>
          <w:lang w:val="en-GB"/>
        </w:rPr>
        <w:t>, Vanhamme, Lindgreen and Lefebvre</w:t>
      </w:r>
      <w:r w:rsidR="00077213" w:rsidRPr="00D57A7E">
        <w:rPr>
          <w:color w:val="00B050"/>
          <w:lang w:val="en-GB"/>
        </w:rPr>
        <w:t>, 2014; Hepner,</w:t>
      </w:r>
      <w:r w:rsidR="00D57A7E" w:rsidRPr="00D57A7E">
        <w:rPr>
          <w:color w:val="00B050"/>
          <w:lang w:val="en-GB"/>
        </w:rPr>
        <w:t xml:space="preserve"> Chandon and Bakardzhieva,</w:t>
      </w:r>
      <w:r w:rsidR="00077213" w:rsidRPr="00D57A7E">
        <w:rPr>
          <w:color w:val="00B050"/>
          <w:lang w:val="en-GB"/>
        </w:rPr>
        <w:t xml:space="preserve"> 2020; Kapferer and Michaut-Denizeau, 2014)</w:t>
      </w:r>
      <w:r w:rsidR="007563E0" w:rsidRPr="00D57A7E">
        <w:rPr>
          <w:color w:val="00B050"/>
          <w:lang w:val="en-GB"/>
        </w:rPr>
        <w:t>.</w:t>
      </w:r>
      <w:r w:rsidR="007563E0" w:rsidRPr="00D44766">
        <w:rPr>
          <w:lang w:val="en-GB"/>
        </w:rPr>
        <w:t xml:space="preserve"> </w:t>
      </w:r>
      <w:r w:rsidR="000E74A0" w:rsidRPr="00D44766">
        <w:rPr>
          <w:lang w:val="en-GB"/>
        </w:rPr>
        <w:t xml:space="preserve">Simultaneously, current research </w:t>
      </w:r>
      <w:r w:rsidR="00E87B42" w:rsidRPr="00D44766">
        <w:rPr>
          <w:lang w:val="en-GB"/>
        </w:rPr>
        <w:t xml:space="preserve">also </w:t>
      </w:r>
      <w:r w:rsidR="000E74A0" w:rsidRPr="00D44766">
        <w:rPr>
          <w:lang w:val="en-GB"/>
        </w:rPr>
        <w:t xml:space="preserve">suggests that the luxury industry is still lacking behind </w:t>
      </w:r>
      <w:r w:rsidR="00E87B42" w:rsidRPr="00D44766">
        <w:rPr>
          <w:lang w:val="en-GB"/>
        </w:rPr>
        <w:t xml:space="preserve">when looking at their CSR and sustainability efforts in comparison </w:t>
      </w:r>
      <w:r w:rsidR="000E74A0" w:rsidRPr="00D44766">
        <w:rPr>
          <w:lang w:val="en-GB"/>
        </w:rPr>
        <w:t>to other industries</w:t>
      </w:r>
      <w:r w:rsidR="007563E0" w:rsidRPr="00D44766">
        <w:rPr>
          <w:lang w:val="en-GB"/>
        </w:rPr>
        <w:t xml:space="preserve"> but with the current </w:t>
      </w:r>
      <w:r w:rsidR="00E87B42" w:rsidRPr="00D44766">
        <w:rPr>
          <w:lang w:val="en-GB"/>
        </w:rPr>
        <w:t>shift in consumers expectations</w:t>
      </w:r>
      <w:r w:rsidR="00E20CC5" w:rsidRPr="00D44766">
        <w:rPr>
          <w:lang w:val="en-GB"/>
        </w:rPr>
        <w:t xml:space="preserve"> more</w:t>
      </w:r>
      <w:r w:rsidR="00E87B42" w:rsidRPr="00D44766">
        <w:rPr>
          <w:lang w:val="en-GB"/>
        </w:rPr>
        <w:t xml:space="preserve"> </w:t>
      </w:r>
      <w:r w:rsidR="007563E0" w:rsidRPr="00D44766">
        <w:rPr>
          <w:lang w:val="en-GB"/>
        </w:rPr>
        <w:t>luxury brands should urgently make sustainability a priority</w:t>
      </w:r>
      <w:r w:rsidR="000E74A0" w:rsidRPr="00D44766">
        <w:rPr>
          <w:lang w:val="en-GB"/>
        </w:rPr>
        <w:t xml:space="preserve"> (</w:t>
      </w:r>
      <w:r w:rsidR="000E74A0" w:rsidRPr="00D57A7E">
        <w:rPr>
          <w:color w:val="00B050"/>
          <w:lang w:val="en-GB"/>
        </w:rPr>
        <w:t>Hennigs et al., 2013</w:t>
      </w:r>
      <w:r w:rsidR="00077213" w:rsidRPr="00D44766">
        <w:rPr>
          <w:lang w:val="en-GB"/>
        </w:rPr>
        <w:t>).</w:t>
      </w:r>
      <w:r w:rsidR="007563E0" w:rsidRPr="00D44766">
        <w:rPr>
          <w:lang w:val="en-GB"/>
        </w:rPr>
        <w:t xml:space="preserve"> Especially, as the risk of reputational damage is quite strong (</w:t>
      </w:r>
      <w:r w:rsidR="007563E0" w:rsidRPr="00D57A7E">
        <w:rPr>
          <w:color w:val="00B050"/>
          <w:lang w:val="en-GB"/>
        </w:rPr>
        <w:t>Hennigs et al., 2013</w:t>
      </w:r>
      <w:r w:rsidR="007563E0" w:rsidRPr="00D44766">
        <w:rPr>
          <w:lang w:val="en-GB"/>
        </w:rPr>
        <w:t>) luxury companies are starting to invest into CSR activities to counter th</w:t>
      </w:r>
      <w:r w:rsidR="00ED6862">
        <w:rPr>
          <w:lang w:val="en-GB"/>
        </w:rPr>
        <w:t>at</w:t>
      </w:r>
      <w:r w:rsidR="007563E0" w:rsidRPr="00D44766">
        <w:rPr>
          <w:lang w:val="en-GB"/>
        </w:rPr>
        <w:t xml:space="preserve"> potential reputation damage (Dekhili and Achabou, 2016; </w:t>
      </w:r>
      <w:r w:rsidR="007563E0" w:rsidRPr="00D57A7E">
        <w:rPr>
          <w:color w:val="00B050"/>
          <w:lang w:val="en-GB"/>
        </w:rPr>
        <w:t>Hepner</w:t>
      </w:r>
      <w:r w:rsidR="00D57A7E" w:rsidRPr="00D57A7E">
        <w:rPr>
          <w:color w:val="00B050"/>
          <w:lang w:val="en-GB"/>
        </w:rPr>
        <w:t>, Chandon and Bakardzhieva</w:t>
      </w:r>
      <w:r w:rsidR="007563E0" w:rsidRPr="00D57A7E">
        <w:rPr>
          <w:color w:val="00B050"/>
          <w:lang w:val="en-GB"/>
        </w:rPr>
        <w:t>, 2020</w:t>
      </w:r>
      <w:r w:rsidR="007563E0" w:rsidRPr="00D44766">
        <w:rPr>
          <w:lang w:val="en-GB"/>
        </w:rPr>
        <w:t xml:space="preserve">; Kapferer and Michaut-Denizeau, 2020). </w:t>
      </w:r>
      <w:r w:rsidR="0030041C" w:rsidRPr="00D44766">
        <w:rPr>
          <w:lang w:val="en-GB"/>
        </w:rPr>
        <w:t>In particular, ethical scandals pose a threat to damage brand reputation</w:t>
      </w:r>
      <w:r w:rsidR="00ED6862">
        <w:rPr>
          <w:lang w:val="en-GB"/>
        </w:rPr>
        <w:t>,</w:t>
      </w:r>
      <w:r w:rsidR="0030041C" w:rsidRPr="00D44766">
        <w:rPr>
          <w:lang w:val="en-GB"/>
        </w:rPr>
        <w:t xml:space="preserve"> which </w:t>
      </w:r>
      <w:r w:rsidR="00163C4E" w:rsidRPr="00D44766">
        <w:rPr>
          <w:lang w:val="en-GB"/>
        </w:rPr>
        <w:t xml:space="preserve">in essence is one of the most decisive factors in the luxury industry </w:t>
      </w:r>
      <w:r w:rsidR="00163C4E" w:rsidRPr="002B19F0">
        <w:rPr>
          <w:color w:val="00B050"/>
          <w:lang w:val="en-GB"/>
        </w:rPr>
        <w:t>(Dekhili, Achabou and Alharbi, 2019</w:t>
      </w:r>
      <w:r w:rsidR="00163C4E" w:rsidRPr="00D44766">
        <w:rPr>
          <w:lang w:val="en-GB"/>
        </w:rPr>
        <w:t xml:space="preserve">). Nevertheless, academics are still </w:t>
      </w:r>
      <w:r w:rsidR="00163C4E" w:rsidRPr="00D44766">
        <w:rPr>
          <w:lang w:val="en-GB"/>
        </w:rPr>
        <w:lastRenderedPageBreak/>
        <w:t>debating whether luxury and sustainability are compatible or not (</w:t>
      </w:r>
      <w:r w:rsidR="00163C4E" w:rsidRPr="002B19F0">
        <w:rPr>
          <w:color w:val="00B050"/>
          <w:lang w:val="en-GB"/>
        </w:rPr>
        <w:t>Dekhili, Achabou and Alharbi, 2019</w:t>
      </w:r>
      <w:r w:rsidR="00163C4E" w:rsidRPr="00D44766">
        <w:rPr>
          <w:lang w:val="en-GB"/>
        </w:rPr>
        <w:t>). In the early 2000, the term sustainable luxury was formed</w:t>
      </w:r>
      <w:r w:rsidR="00360892" w:rsidRPr="00D44766">
        <w:rPr>
          <w:lang w:val="en-GB"/>
        </w:rPr>
        <w:t xml:space="preserve"> and first coined by Bendell and Kleanthous (</w:t>
      </w:r>
      <w:bookmarkStart w:id="50" w:name="_Hlk140946474"/>
      <w:r w:rsidR="00360892" w:rsidRPr="002B19F0">
        <w:rPr>
          <w:color w:val="00B050"/>
          <w:lang w:val="en-GB"/>
        </w:rPr>
        <w:t>Pai, Laverie and Hass</w:t>
      </w:r>
      <w:bookmarkEnd w:id="50"/>
      <w:r w:rsidR="00360892" w:rsidRPr="002B19F0">
        <w:rPr>
          <w:color w:val="00B050"/>
          <w:lang w:val="en-GB"/>
        </w:rPr>
        <w:t>, 2022</w:t>
      </w:r>
      <w:r w:rsidR="00360892" w:rsidRPr="00D44766">
        <w:rPr>
          <w:lang w:val="en-GB"/>
        </w:rPr>
        <w:t>)</w:t>
      </w:r>
      <w:r w:rsidR="00482358" w:rsidRPr="00D44766">
        <w:rPr>
          <w:lang w:val="en-GB"/>
        </w:rPr>
        <w:t>. The concept behind sustainable luxury refers to luxury brands contributing in a positive way to society and the environment at large (</w:t>
      </w:r>
      <w:r w:rsidR="00482358" w:rsidRPr="002B19F0">
        <w:rPr>
          <w:color w:val="00B050"/>
          <w:lang w:val="en-GB"/>
        </w:rPr>
        <w:t>Bendell and Kleanthous, 2007</w:t>
      </w:r>
      <w:r w:rsidR="00482358" w:rsidRPr="00D44766">
        <w:rPr>
          <w:lang w:val="en-GB"/>
        </w:rPr>
        <w:t xml:space="preserve">) and </w:t>
      </w:r>
      <w:r w:rsidR="00482358" w:rsidRPr="002B19F0">
        <w:rPr>
          <w:color w:val="00B050"/>
          <w:lang w:val="en-GB"/>
        </w:rPr>
        <w:t>Batat (20</w:t>
      </w:r>
      <w:r w:rsidR="002B19F0" w:rsidRPr="002B19F0">
        <w:rPr>
          <w:color w:val="00B050"/>
          <w:lang w:val="en-GB"/>
        </w:rPr>
        <w:t>19</w:t>
      </w:r>
      <w:r w:rsidR="00482358" w:rsidRPr="00D44766">
        <w:rPr>
          <w:lang w:val="en-GB"/>
        </w:rPr>
        <w:t>) adds that thus</w:t>
      </w:r>
      <w:r w:rsidR="00ED6862">
        <w:rPr>
          <w:lang w:val="en-GB"/>
        </w:rPr>
        <w:t>,</w:t>
      </w:r>
      <w:r w:rsidR="00482358" w:rsidRPr="00D44766">
        <w:rPr>
          <w:lang w:val="en-GB"/>
        </w:rPr>
        <w:t xml:space="preserve"> the consumption of luxury goods and service still fulfils the needs of the consumer while simultaneously not negatively affecting future generations. In their research </w:t>
      </w:r>
      <w:r w:rsidR="00482358" w:rsidRPr="002B19F0">
        <w:rPr>
          <w:color w:val="00B050"/>
          <w:lang w:val="en-GB"/>
        </w:rPr>
        <w:t>Cervellon and Shammes (2013)</w:t>
      </w:r>
      <w:r w:rsidR="00482358" w:rsidRPr="00D44766">
        <w:rPr>
          <w:lang w:val="en-GB"/>
        </w:rPr>
        <w:t xml:space="preserve"> identify </w:t>
      </w:r>
      <w:r w:rsidR="002F0E70" w:rsidRPr="00D44766">
        <w:rPr>
          <w:lang w:val="en-GB"/>
        </w:rPr>
        <w:t xml:space="preserve">three categories </w:t>
      </w:r>
      <w:r w:rsidR="00EE050B" w:rsidRPr="00D44766">
        <w:rPr>
          <w:lang w:val="en-GB"/>
        </w:rPr>
        <w:t>sustainable luxury companies can base their values on</w:t>
      </w:r>
      <w:r w:rsidR="002F0E70" w:rsidRPr="00D44766">
        <w:rPr>
          <w:lang w:val="en-GB"/>
        </w:rPr>
        <w:t>:</w:t>
      </w:r>
    </w:p>
    <w:p w14:paraId="45C3AE34" w14:textId="2F2F8E23" w:rsidR="002F0E70" w:rsidRPr="00D44766" w:rsidRDefault="002F0E70" w:rsidP="002E26E0">
      <w:pPr>
        <w:pStyle w:val="Listenabsatz"/>
        <w:numPr>
          <w:ilvl w:val="0"/>
          <w:numId w:val="7"/>
        </w:numPr>
        <w:spacing w:after="120" w:line="360" w:lineRule="auto"/>
        <w:ind w:firstLine="284"/>
        <w:rPr>
          <w:rFonts w:ascii="Times New Roman" w:hAnsi="Times New Roman" w:cs="Times New Roman"/>
          <w:sz w:val="24"/>
          <w:szCs w:val="24"/>
          <w:lang w:val="en-GB"/>
        </w:rPr>
      </w:pPr>
      <w:r w:rsidRPr="00D44766">
        <w:rPr>
          <w:rFonts w:ascii="Times New Roman" w:hAnsi="Times New Roman" w:cs="Times New Roman"/>
          <w:sz w:val="24"/>
          <w:szCs w:val="24"/>
          <w:lang w:val="en-GB"/>
        </w:rPr>
        <w:t>Socio-cultural: referring to values such as conspicuousness but also national identity</w:t>
      </w:r>
    </w:p>
    <w:p w14:paraId="3B1527E3" w14:textId="20CB761A" w:rsidR="002F0E70" w:rsidRPr="00D44766" w:rsidRDefault="002F0E70" w:rsidP="002E26E0">
      <w:pPr>
        <w:pStyle w:val="Listenabsatz"/>
        <w:numPr>
          <w:ilvl w:val="0"/>
          <w:numId w:val="7"/>
        </w:numPr>
        <w:spacing w:after="120" w:line="360" w:lineRule="auto"/>
        <w:ind w:firstLine="284"/>
        <w:rPr>
          <w:rFonts w:ascii="Times New Roman" w:hAnsi="Times New Roman" w:cs="Times New Roman"/>
          <w:sz w:val="24"/>
          <w:szCs w:val="24"/>
          <w:lang w:val="en-GB"/>
        </w:rPr>
      </w:pPr>
      <w:r w:rsidRPr="00D44766">
        <w:rPr>
          <w:rFonts w:ascii="Times New Roman" w:hAnsi="Times New Roman" w:cs="Times New Roman"/>
          <w:sz w:val="24"/>
          <w:szCs w:val="24"/>
          <w:lang w:val="en-GB"/>
        </w:rPr>
        <w:t xml:space="preserve">Ego-centric: referring to guilt-free consumption and associated pleasure, hedonism and </w:t>
      </w:r>
      <w:r w:rsidR="00E239E1" w:rsidRPr="00D44766">
        <w:rPr>
          <w:rFonts w:ascii="Times New Roman" w:hAnsi="Times New Roman" w:cs="Times New Roman"/>
          <w:sz w:val="24"/>
          <w:szCs w:val="24"/>
          <w:lang w:val="en-GB"/>
        </w:rPr>
        <w:t>quality.</w:t>
      </w:r>
    </w:p>
    <w:p w14:paraId="115ABE3C" w14:textId="6F2214AD" w:rsidR="002F0E70" w:rsidRPr="00D44766" w:rsidRDefault="002F0E70" w:rsidP="002E26E0">
      <w:pPr>
        <w:pStyle w:val="Listenabsatz"/>
        <w:numPr>
          <w:ilvl w:val="0"/>
          <w:numId w:val="7"/>
        </w:numPr>
        <w:spacing w:after="120" w:line="360" w:lineRule="auto"/>
        <w:ind w:firstLine="284"/>
        <w:rPr>
          <w:rFonts w:ascii="Times New Roman" w:hAnsi="Times New Roman" w:cs="Times New Roman"/>
          <w:sz w:val="24"/>
          <w:szCs w:val="24"/>
          <w:lang w:val="en-GB"/>
        </w:rPr>
      </w:pPr>
      <w:r w:rsidRPr="00D44766">
        <w:rPr>
          <w:rFonts w:ascii="Times New Roman" w:hAnsi="Times New Roman" w:cs="Times New Roman"/>
          <w:sz w:val="24"/>
          <w:szCs w:val="24"/>
          <w:lang w:val="en-GB"/>
        </w:rPr>
        <w:t>Eco-centric: referring to rather doing good than harm.</w:t>
      </w:r>
    </w:p>
    <w:p w14:paraId="7DED946B" w14:textId="53A71852" w:rsidR="00320FA1" w:rsidRPr="00D44766" w:rsidRDefault="002F0E70" w:rsidP="002E26E0">
      <w:pPr>
        <w:contextualSpacing/>
        <w:rPr>
          <w:rFonts w:cs="Times New Roman"/>
          <w:szCs w:val="24"/>
          <w:lang w:val="en-GB"/>
        </w:rPr>
      </w:pPr>
      <w:r w:rsidRPr="00D44766">
        <w:rPr>
          <w:rFonts w:cs="Times New Roman"/>
          <w:szCs w:val="24"/>
          <w:lang w:val="en-GB"/>
        </w:rPr>
        <w:t xml:space="preserve">The responsibility – environmental, social and ethical – lies at the heart of sustainable luxury. Yet again, </w:t>
      </w:r>
      <w:r w:rsidR="00681015" w:rsidRPr="00D44766">
        <w:rPr>
          <w:rFonts w:cs="Times New Roman"/>
          <w:szCs w:val="24"/>
          <w:lang w:val="en-GB"/>
        </w:rPr>
        <w:t xml:space="preserve">as afore mentioned also in this context </w:t>
      </w:r>
      <w:r w:rsidRPr="00D44766">
        <w:rPr>
          <w:rFonts w:cs="Times New Roman"/>
          <w:szCs w:val="24"/>
          <w:lang w:val="en-GB"/>
        </w:rPr>
        <w:t>sustainability here is often used syn</w:t>
      </w:r>
      <w:r w:rsidR="00ED6862">
        <w:rPr>
          <w:rFonts w:cs="Times New Roman"/>
          <w:szCs w:val="24"/>
          <w:lang w:val="en-GB"/>
        </w:rPr>
        <w:t>-</w:t>
      </w:r>
      <w:r w:rsidRPr="00D44766">
        <w:rPr>
          <w:rFonts w:cs="Times New Roman"/>
          <w:szCs w:val="24"/>
          <w:lang w:val="en-GB"/>
        </w:rPr>
        <w:t xml:space="preserve">onymously </w:t>
      </w:r>
      <w:r w:rsidR="00681015" w:rsidRPr="00D44766">
        <w:rPr>
          <w:rFonts w:cs="Times New Roman"/>
          <w:szCs w:val="24"/>
          <w:lang w:val="en-GB"/>
        </w:rPr>
        <w:t xml:space="preserve">to CSR </w:t>
      </w:r>
      <w:r w:rsidRPr="00D44766">
        <w:rPr>
          <w:rFonts w:cs="Times New Roman"/>
          <w:szCs w:val="24"/>
          <w:lang w:val="en-GB"/>
        </w:rPr>
        <w:t>(</w:t>
      </w:r>
      <w:r w:rsidRPr="000C55FB">
        <w:rPr>
          <w:rFonts w:cs="Times New Roman"/>
          <w:color w:val="00B050"/>
          <w:szCs w:val="24"/>
          <w:lang w:val="en-GB"/>
        </w:rPr>
        <w:t>Gatti and Seele, 201</w:t>
      </w:r>
      <w:r w:rsidR="000C55FB" w:rsidRPr="000C55FB">
        <w:rPr>
          <w:rFonts w:cs="Times New Roman"/>
          <w:color w:val="00B050"/>
          <w:szCs w:val="24"/>
          <w:lang w:val="en-GB"/>
        </w:rPr>
        <w:t>3</w:t>
      </w:r>
      <w:r w:rsidRPr="00D44766">
        <w:rPr>
          <w:rFonts w:cs="Times New Roman"/>
          <w:szCs w:val="24"/>
          <w:lang w:val="en-GB"/>
        </w:rPr>
        <w:t xml:space="preserve">) but </w:t>
      </w:r>
      <w:r w:rsidR="00681015" w:rsidRPr="00D44766">
        <w:rPr>
          <w:rFonts w:cs="Times New Roman"/>
          <w:szCs w:val="24"/>
          <w:lang w:val="en-GB"/>
        </w:rPr>
        <w:t xml:space="preserve">technically they are not identical. Nevertheless, despite this notion, </w:t>
      </w:r>
      <w:r w:rsidR="00681015" w:rsidRPr="000C55FB">
        <w:rPr>
          <w:rFonts w:cs="Times New Roman"/>
          <w:color w:val="00B050"/>
          <w:szCs w:val="24"/>
          <w:lang w:val="en-GB"/>
        </w:rPr>
        <w:t>Eastman, Iyer and Dekhili (2021</w:t>
      </w:r>
      <w:r w:rsidR="00681015" w:rsidRPr="00D44766">
        <w:rPr>
          <w:rFonts w:cs="Times New Roman"/>
          <w:szCs w:val="24"/>
          <w:lang w:val="en-GB"/>
        </w:rPr>
        <w:t>)</w:t>
      </w:r>
      <w:r w:rsidR="00A57AE7" w:rsidRPr="00D44766">
        <w:rPr>
          <w:rFonts w:cs="Times New Roman"/>
          <w:szCs w:val="24"/>
          <w:lang w:val="en-GB"/>
        </w:rPr>
        <w:t xml:space="preserve"> and </w:t>
      </w:r>
      <w:r w:rsidR="00A57AE7" w:rsidRPr="002B19F0">
        <w:rPr>
          <w:rFonts w:cs="Times New Roman"/>
          <w:color w:val="00B050"/>
          <w:szCs w:val="24"/>
          <w:lang w:val="en-GB"/>
        </w:rPr>
        <w:t>Cervello and Shammes (2013</w:t>
      </w:r>
      <w:r w:rsidR="00A57AE7" w:rsidRPr="00D44766">
        <w:rPr>
          <w:rFonts w:cs="Times New Roman"/>
          <w:szCs w:val="24"/>
          <w:lang w:val="en-GB"/>
        </w:rPr>
        <w:t>)</w:t>
      </w:r>
      <w:r w:rsidR="00681015" w:rsidRPr="00D44766">
        <w:rPr>
          <w:rFonts w:cs="Times New Roman"/>
          <w:szCs w:val="24"/>
          <w:lang w:val="en-GB"/>
        </w:rPr>
        <w:t xml:space="preserve"> highlight that the values of sustainable luxury are unique</w:t>
      </w:r>
      <w:r w:rsidR="00EE050B" w:rsidRPr="00D44766">
        <w:rPr>
          <w:rFonts w:cs="Times New Roman"/>
          <w:szCs w:val="24"/>
          <w:lang w:val="en-GB"/>
        </w:rPr>
        <w:t>,</w:t>
      </w:r>
      <w:r w:rsidR="00681015" w:rsidRPr="00D44766">
        <w:rPr>
          <w:rFonts w:cs="Times New Roman"/>
          <w:szCs w:val="24"/>
          <w:lang w:val="en-GB"/>
        </w:rPr>
        <w:t xml:space="preserve"> symbolic and algin with consumer’s new, more sustainable and conspicuousness lifestyles and </w:t>
      </w:r>
      <w:r w:rsidR="00A57AE7" w:rsidRPr="00D44766">
        <w:rPr>
          <w:rFonts w:cs="Times New Roman"/>
          <w:szCs w:val="24"/>
          <w:lang w:val="en-GB"/>
        </w:rPr>
        <w:t xml:space="preserve">self-expression. As the luxury industry often acts as catalyst and is copied by the more mainstream industry the concept and effects of sustainable luxury needs to be researched further in order to draw conclusions on potential </w:t>
      </w:r>
      <w:r w:rsidR="00E239E1" w:rsidRPr="00D44766">
        <w:rPr>
          <w:rFonts w:cs="Times New Roman"/>
          <w:szCs w:val="24"/>
          <w:lang w:val="en-GB"/>
        </w:rPr>
        <w:t>trickle-down</w:t>
      </w:r>
      <w:r w:rsidR="00A57AE7" w:rsidRPr="00D44766">
        <w:rPr>
          <w:rFonts w:cs="Times New Roman"/>
          <w:szCs w:val="24"/>
          <w:lang w:val="en-GB"/>
        </w:rPr>
        <w:t xml:space="preserve"> effects (</w:t>
      </w:r>
      <w:r w:rsidR="00A57AE7" w:rsidRPr="000C55FB">
        <w:rPr>
          <w:rFonts w:cs="Times New Roman"/>
          <w:color w:val="00B050"/>
          <w:szCs w:val="24"/>
          <w:lang w:val="en-GB"/>
        </w:rPr>
        <w:t>Athwal et al.</w:t>
      </w:r>
      <w:r w:rsidR="00A57C73">
        <w:rPr>
          <w:rFonts w:cs="Times New Roman"/>
          <w:color w:val="00B050"/>
          <w:szCs w:val="24"/>
          <w:lang w:val="en-GB"/>
        </w:rPr>
        <w:t>,</w:t>
      </w:r>
      <w:r w:rsidR="00A57AE7" w:rsidRPr="000C55FB">
        <w:rPr>
          <w:rFonts w:cs="Times New Roman"/>
          <w:color w:val="00B050"/>
          <w:szCs w:val="24"/>
          <w:lang w:val="en-GB"/>
        </w:rPr>
        <w:t xml:space="preserve"> 2019</w:t>
      </w:r>
      <w:r w:rsidR="006C0470" w:rsidRPr="000C55FB">
        <w:rPr>
          <w:rFonts w:cs="Times New Roman"/>
          <w:color w:val="00B050"/>
          <w:szCs w:val="24"/>
          <w:lang w:val="en-GB"/>
        </w:rPr>
        <w:t>; Kunz, May and Schmidt, 2020; Osburg et al.</w:t>
      </w:r>
      <w:r w:rsidR="00602863" w:rsidRPr="000C55FB">
        <w:rPr>
          <w:rFonts w:cs="Times New Roman"/>
          <w:color w:val="00B050"/>
          <w:szCs w:val="24"/>
          <w:lang w:val="en-GB"/>
        </w:rPr>
        <w:t>,</w:t>
      </w:r>
      <w:r w:rsidR="006C0470" w:rsidRPr="000C55FB">
        <w:rPr>
          <w:rFonts w:cs="Times New Roman"/>
          <w:color w:val="00B050"/>
          <w:szCs w:val="24"/>
          <w:lang w:val="en-GB"/>
        </w:rPr>
        <w:t xml:space="preserve"> 2020</w:t>
      </w:r>
      <w:r w:rsidR="00A57AE7" w:rsidRPr="00D44766">
        <w:rPr>
          <w:rFonts w:cs="Times New Roman"/>
          <w:szCs w:val="24"/>
          <w:lang w:val="en-GB"/>
        </w:rPr>
        <w:t xml:space="preserve">). </w:t>
      </w:r>
      <w:r w:rsidR="00CA5DBB" w:rsidRPr="00D44766">
        <w:rPr>
          <w:rFonts w:cs="Times New Roman"/>
          <w:szCs w:val="24"/>
          <w:lang w:val="en-GB"/>
        </w:rPr>
        <w:t>However, looking at the luxury hospitality industry there are in</w:t>
      </w:r>
      <w:r w:rsidR="00EE050B" w:rsidRPr="00D44766">
        <w:rPr>
          <w:rFonts w:cs="Times New Roman"/>
          <w:szCs w:val="24"/>
          <w:lang w:val="en-GB"/>
        </w:rPr>
        <w:t>d</w:t>
      </w:r>
      <w:r w:rsidR="00CA5DBB" w:rsidRPr="00D44766">
        <w:rPr>
          <w:rFonts w:cs="Times New Roman"/>
          <w:szCs w:val="24"/>
          <w:lang w:val="en-GB"/>
        </w:rPr>
        <w:t>ications that sustainability can have a negative impact on the overall perceived value</w:t>
      </w:r>
      <w:r w:rsidR="00EE050B" w:rsidRPr="00D44766">
        <w:rPr>
          <w:rFonts w:cs="Times New Roman"/>
          <w:szCs w:val="24"/>
          <w:lang w:val="en-GB"/>
        </w:rPr>
        <w:t xml:space="preserve"> of the product</w:t>
      </w:r>
      <w:r w:rsidR="00CA5DBB" w:rsidRPr="00D44766">
        <w:rPr>
          <w:rFonts w:cs="Times New Roman"/>
          <w:szCs w:val="24"/>
          <w:lang w:val="en-GB"/>
        </w:rPr>
        <w:t xml:space="preserve"> (</w:t>
      </w:r>
      <w:r w:rsidR="00CA5DBB" w:rsidRPr="000C55FB">
        <w:rPr>
          <w:rFonts w:cs="Times New Roman"/>
          <w:color w:val="00B050"/>
          <w:szCs w:val="24"/>
          <w:lang w:val="en-GB"/>
        </w:rPr>
        <w:t>Amatulli, De Angelis and Stoppani, 2021).</w:t>
      </w:r>
      <w:r w:rsidR="00CA5DBB" w:rsidRPr="00D44766">
        <w:rPr>
          <w:rFonts w:cs="Times New Roman"/>
          <w:szCs w:val="24"/>
          <w:lang w:val="en-GB"/>
        </w:rPr>
        <w:t xml:space="preserve"> That does not only hold true for luxury hospitality but can also be the case for other luxury products. As </w:t>
      </w:r>
      <w:r w:rsidR="00CA5DBB" w:rsidRPr="000C55FB">
        <w:rPr>
          <w:rFonts w:cs="Times New Roman"/>
          <w:color w:val="00B050"/>
          <w:szCs w:val="24"/>
          <w:lang w:val="en-GB"/>
        </w:rPr>
        <w:t>Peng and Chen, 2019</w:t>
      </w:r>
      <w:r w:rsidR="00501C3E" w:rsidRPr="000C55FB">
        <w:rPr>
          <w:rFonts w:cs="Times New Roman"/>
          <w:color w:val="00B050"/>
          <w:szCs w:val="24"/>
          <w:lang w:val="en-GB"/>
        </w:rPr>
        <w:t>a</w:t>
      </w:r>
      <w:r w:rsidR="00CA5DBB" w:rsidRPr="00D44766">
        <w:rPr>
          <w:rFonts w:cs="Times New Roman"/>
          <w:szCs w:val="24"/>
          <w:lang w:val="en-GB"/>
        </w:rPr>
        <w:t xml:space="preserve"> suggest the purchase of luxury products usually provides the consumers with pleasure and self-indulgence – particularly in the service luxury industry where the product is instantly consumed and cannot be enjoyed a second time. Luxury products serve consumers beyond the necessary and basic need and the link to sustainability can negatively influence the perception of this extraordinary quality promise that luxury products usually hold and thus</w:t>
      </w:r>
      <w:r w:rsidR="00EE050B" w:rsidRPr="00D44766">
        <w:rPr>
          <w:rFonts w:cs="Times New Roman"/>
          <w:szCs w:val="24"/>
          <w:lang w:val="en-GB"/>
        </w:rPr>
        <w:t>,</w:t>
      </w:r>
      <w:r w:rsidR="00CA5DBB" w:rsidRPr="00D44766">
        <w:rPr>
          <w:rFonts w:cs="Times New Roman"/>
          <w:szCs w:val="24"/>
          <w:lang w:val="en-GB"/>
        </w:rPr>
        <w:t xml:space="preserve"> reduce pleasure and excitement while consumption (</w:t>
      </w:r>
      <w:r w:rsidR="00CA5DBB" w:rsidRPr="000D27BF">
        <w:rPr>
          <w:rFonts w:cs="Times New Roman"/>
          <w:color w:val="00B050"/>
          <w:szCs w:val="24"/>
          <w:lang w:val="en-GB"/>
        </w:rPr>
        <w:t>Cervellon, 2013</w:t>
      </w:r>
      <w:r w:rsidR="00CA5DBB" w:rsidRPr="00D44766">
        <w:rPr>
          <w:rFonts w:cs="Times New Roman"/>
          <w:szCs w:val="24"/>
          <w:lang w:val="en-GB"/>
        </w:rPr>
        <w:t xml:space="preserve">; </w:t>
      </w:r>
      <w:r w:rsidR="00CA5DBB" w:rsidRPr="000D27BF">
        <w:rPr>
          <w:rFonts w:cs="Times New Roman"/>
          <w:color w:val="00B050"/>
          <w:szCs w:val="24"/>
          <w:lang w:val="en-GB"/>
        </w:rPr>
        <w:t>Rahm</w:t>
      </w:r>
      <w:r w:rsidR="000D27BF" w:rsidRPr="000D27BF">
        <w:rPr>
          <w:rFonts w:cs="Times New Roman"/>
          <w:color w:val="00B050"/>
          <w:szCs w:val="24"/>
          <w:lang w:val="en-GB"/>
        </w:rPr>
        <w:t>a</w:t>
      </w:r>
      <w:r w:rsidR="00CA5DBB" w:rsidRPr="000D27BF">
        <w:rPr>
          <w:rFonts w:cs="Times New Roman"/>
          <w:color w:val="00B050"/>
          <w:szCs w:val="24"/>
          <w:lang w:val="en-GB"/>
        </w:rPr>
        <w:t>n</w:t>
      </w:r>
      <w:r w:rsidR="000D27BF" w:rsidRPr="000D27BF">
        <w:rPr>
          <w:rFonts w:cs="Times New Roman"/>
          <w:color w:val="00B050"/>
          <w:szCs w:val="24"/>
          <w:lang w:val="en-GB"/>
        </w:rPr>
        <w:t>, Park and Chi</w:t>
      </w:r>
      <w:r w:rsidR="00CA5DBB" w:rsidRPr="000D27BF">
        <w:rPr>
          <w:rFonts w:cs="Times New Roman"/>
          <w:color w:val="00B050"/>
          <w:szCs w:val="24"/>
          <w:lang w:val="en-GB"/>
        </w:rPr>
        <w:t>, 2015).</w:t>
      </w:r>
      <w:r w:rsidR="00CA5DBB" w:rsidRPr="00D44766">
        <w:rPr>
          <w:rFonts w:cs="Times New Roman"/>
          <w:szCs w:val="24"/>
          <w:lang w:val="en-GB"/>
        </w:rPr>
        <w:t xml:space="preserve"> Particularly in the luxury travel/hospitality industry, clients regularly cho</w:t>
      </w:r>
      <w:r w:rsidR="00E20CC5" w:rsidRPr="00D44766">
        <w:rPr>
          <w:rFonts w:cs="Times New Roman"/>
          <w:szCs w:val="24"/>
          <w:lang w:val="en-GB"/>
        </w:rPr>
        <w:t>o</w:t>
      </w:r>
      <w:r w:rsidR="00CA5DBB" w:rsidRPr="00D44766">
        <w:rPr>
          <w:rFonts w:cs="Times New Roman"/>
          <w:szCs w:val="24"/>
          <w:lang w:val="en-GB"/>
        </w:rPr>
        <w:t xml:space="preserve">se this kind of travel/properties because of their </w:t>
      </w:r>
      <w:r w:rsidR="006C0470" w:rsidRPr="00D44766">
        <w:rPr>
          <w:rFonts w:cs="Times New Roman"/>
          <w:szCs w:val="24"/>
          <w:lang w:val="en-GB"/>
        </w:rPr>
        <w:t>superior quality promise – larger rooms, superb geographical location and sur</w:t>
      </w:r>
      <w:r w:rsidR="006C0470" w:rsidRPr="00D44766">
        <w:rPr>
          <w:rFonts w:cs="Times New Roman"/>
          <w:szCs w:val="24"/>
          <w:lang w:val="en-GB"/>
        </w:rPr>
        <w:lastRenderedPageBreak/>
        <w:t>roundings and the promise of a high quality in terms of service levels and ancillary services (</w:t>
      </w:r>
      <w:r w:rsidR="006C0470" w:rsidRPr="000D27BF">
        <w:rPr>
          <w:rFonts w:cs="Times New Roman"/>
          <w:color w:val="00B050"/>
          <w:szCs w:val="24"/>
          <w:lang w:val="en-GB"/>
        </w:rPr>
        <w:t>Wu and Liang, 2009</w:t>
      </w:r>
      <w:r w:rsidR="006C0470" w:rsidRPr="00D44766">
        <w:rPr>
          <w:rFonts w:cs="Times New Roman"/>
          <w:szCs w:val="24"/>
          <w:lang w:val="en-GB"/>
        </w:rPr>
        <w:t xml:space="preserve">; </w:t>
      </w:r>
      <w:r w:rsidR="006C0470" w:rsidRPr="000D27BF">
        <w:rPr>
          <w:rFonts w:cs="Times New Roman"/>
          <w:color w:val="00B050"/>
          <w:szCs w:val="24"/>
          <w:lang w:val="en-GB"/>
        </w:rPr>
        <w:t>Correia and Kozak, 2012</w:t>
      </w:r>
      <w:r w:rsidR="006C0470" w:rsidRPr="00D44766">
        <w:rPr>
          <w:rFonts w:cs="Times New Roman"/>
          <w:szCs w:val="24"/>
          <w:lang w:val="en-GB"/>
        </w:rPr>
        <w:t>).</w:t>
      </w:r>
      <w:r w:rsidR="00CA5DBB" w:rsidRPr="00D44766">
        <w:rPr>
          <w:rFonts w:cs="Times New Roman"/>
          <w:szCs w:val="24"/>
          <w:lang w:val="en-GB"/>
        </w:rPr>
        <w:t xml:space="preserve"> </w:t>
      </w:r>
      <w:r w:rsidR="006C0470" w:rsidRPr="00D44766">
        <w:rPr>
          <w:rFonts w:cs="Times New Roman"/>
          <w:szCs w:val="24"/>
          <w:lang w:val="en-GB"/>
        </w:rPr>
        <w:t>These accommodations are often remotely located (</w:t>
      </w:r>
      <w:r w:rsidR="006C0470" w:rsidRPr="000D27BF">
        <w:rPr>
          <w:rFonts w:cs="Times New Roman"/>
          <w:color w:val="00B050"/>
          <w:szCs w:val="24"/>
          <w:lang w:val="en-GB"/>
        </w:rPr>
        <w:t>G</w:t>
      </w:r>
      <w:r w:rsidR="00501C3E" w:rsidRPr="000D27BF">
        <w:rPr>
          <w:rFonts w:cs="Times New Roman"/>
          <w:color w:val="00B050"/>
          <w:szCs w:val="24"/>
          <w:lang w:val="en-GB"/>
        </w:rPr>
        <w:t>ö</w:t>
      </w:r>
      <w:r w:rsidR="006C0470" w:rsidRPr="000D27BF">
        <w:rPr>
          <w:rFonts w:cs="Times New Roman"/>
          <w:color w:val="00B050"/>
          <w:szCs w:val="24"/>
          <w:lang w:val="en-GB"/>
        </w:rPr>
        <w:t>ssling</w:t>
      </w:r>
      <w:r w:rsidR="000D27BF" w:rsidRPr="000D27BF">
        <w:rPr>
          <w:rFonts w:cs="Times New Roman"/>
          <w:color w:val="00B050"/>
          <w:szCs w:val="24"/>
          <w:lang w:val="en-GB"/>
        </w:rPr>
        <w:t>, Hansson, Hörstmeier and Saggel</w:t>
      </w:r>
      <w:r w:rsidR="006C0470" w:rsidRPr="000D27BF">
        <w:rPr>
          <w:rFonts w:cs="Times New Roman"/>
          <w:color w:val="00B050"/>
          <w:szCs w:val="24"/>
          <w:lang w:val="en-GB"/>
        </w:rPr>
        <w:t>, 2002</w:t>
      </w:r>
      <w:r w:rsidR="000D27BF">
        <w:rPr>
          <w:rFonts w:cs="Times New Roman"/>
          <w:color w:val="00B050"/>
          <w:szCs w:val="24"/>
          <w:lang w:val="en-GB"/>
        </w:rPr>
        <w:t>;</w:t>
      </w:r>
      <w:r w:rsidR="006C0470" w:rsidRPr="00D44766">
        <w:rPr>
          <w:rFonts w:cs="Times New Roman"/>
          <w:szCs w:val="24"/>
          <w:lang w:val="en-GB"/>
        </w:rPr>
        <w:t xml:space="preserve"> </w:t>
      </w:r>
      <w:r w:rsidR="006C0470" w:rsidRPr="000D27BF">
        <w:rPr>
          <w:rFonts w:cs="Times New Roman"/>
          <w:color w:val="00B050"/>
          <w:szCs w:val="24"/>
          <w:lang w:val="en-GB"/>
        </w:rPr>
        <w:t>Ryan and Stewart, 2009</w:t>
      </w:r>
      <w:r w:rsidR="006C0470" w:rsidRPr="00D44766">
        <w:rPr>
          <w:rFonts w:cs="Times New Roman"/>
          <w:szCs w:val="24"/>
          <w:lang w:val="en-GB"/>
        </w:rPr>
        <w:t xml:space="preserve">) feature extended infrastructure with private ensuite-pools, spas and generally require large quantities of water, energy </w:t>
      </w:r>
      <w:r w:rsidR="006C0470" w:rsidRPr="000D27BF">
        <w:rPr>
          <w:rFonts w:cs="Times New Roman"/>
          <w:color w:val="00B050"/>
          <w:szCs w:val="24"/>
          <w:lang w:val="en-GB"/>
        </w:rPr>
        <w:t>(Logan, 2015</w:t>
      </w:r>
      <w:r w:rsidR="006C0470" w:rsidRPr="00D44766">
        <w:rPr>
          <w:rFonts w:cs="Times New Roman"/>
          <w:szCs w:val="24"/>
          <w:lang w:val="en-GB"/>
        </w:rPr>
        <w:t xml:space="preserve">) and other resources which are in contrast to an ecological responsible behaviour. </w:t>
      </w:r>
      <w:r w:rsidR="00EE050B" w:rsidRPr="00D44766">
        <w:rPr>
          <w:rFonts w:cs="Times New Roman"/>
          <w:szCs w:val="24"/>
          <w:lang w:val="en-GB"/>
        </w:rPr>
        <w:t xml:space="preserve">Nevertheless, especially throughout the Southern and Eastern Africa but also globally hotels/lodges increasingly invest and communicate their CSR activities and achievements. </w:t>
      </w:r>
      <w:r w:rsidR="00CA5DBB" w:rsidRPr="00D44766">
        <w:rPr>
          <w:rFonts w:cs="Times New Roman"/>
          <w:szCs w:val="24"/>
          <w:lang w:val="en-GB"/>
        </w:rPr>
        <w:t>Hence</w:t>
      </w:r>
      <w:r w:rsidR="00A84232">
        <w:rPr>
          <w:rFonts w:cs="Times New Roman"/>
          <w:szCs w:val="24"/>
          <w:lang w:val="en-GB"/>
        </w:rPr>
        <w:t>,</w:t>
      </w:r>
      <w:r w:rsidR="00CA5DBB" w:rsidRPr="00D44766">
        <w:rPr>
          <w:rFonts w:cs="Times New Roman"/>
          <w:szCs w:val="24"/>
          <w:lang w:val="en-GB"/>
        </w:rPr>
        <w:t xml:space="preserve"> e</w:t>
      </w:r>
      <w:r w:rsidR="00A57AE7" w:rsidRPr="00D44766">
        <w:rPr>
          <w:rFonts w:cs="Times New Roman"/>
          <w:szCs w:val="24"/>
          <w:lang w:val="en-GB"/>
        </w:rPr>
        <w:t>specially if and how consumers react in reality to CSR and sustainable activities of companies need</w:t>
      </w:r>
      <w:r w:rsidR="00161935">
        <w:rPr>
          <w:rFonts w:cs="Times New Roman"/>
          <w:szCs w:val="24"/>
          <w:lang w:val="en-GB"/>
        </w:rPr>
        <w:t>s</w:t>
      </w:r>
      <w:r w:rsidR="00A57AE7" w:rsidRPr="00D44766">
        <w:rPr>
          <w:rFonts w:cs="Times New Roman"/>
          <w:szCs w:val="24"/>
          <w:lang w:val="en-GB"/>
        </w:rPr>
        <w:t xml:space="preserve"> to be evaluated and if they do </w:t>
      </w:r>
      <w:r w:rsidR="00EE050B" w:rsidRPr="00D44766">
        <w:rPr>
          <w:rFonts w:cs="Times New Roman"/>
          <w:szCs w:val="24"/>
          <w:lang w:val="en-GB"/>
        </w:rPr>
        <w:t xml:space="preserve">actually </w:t>
      </w:r>
      <w:r w:rsidR="00A57AE7" w:rsidRPr="00D44766">
        <w:rPr>
          <w:rFonts w:cs="Times New Roman"/>
          <w:szCs w:val="24"/>
          <w:lang w:val="en-GB"/>
        </w:rPr>
        <w:t>value</w:t>
      </w:r>
      <w:r w:rsidR="00EE050B" w:rsidRPr="00D44766">
        <w:rPr>
          <w:rFonts w:cs="Times New Roman"/>
          <w:szCs w:val="24"/>
          <w:lang w:val="en-GB"/>
        </w:rPr>
        <w:t xml:space="preserve"> and prefer</w:t>
      </w:r>
      <w:r w:rsidR="00A57AE7" w:rsidRPr="00D44766">
        <w:rPr>
          <w:rFonts w:cs="Times New Roman"/>
          <w:szCs w:val="24"/>
          <w:lang w:val="en-GB"/>
        </w:rPr>
        <w:t xml:space="preserve"> companies taking over moral responsibility. </w:t>
      </w:r>
      <w:r w:rsidR="008A1E3D" w:rsidRPr="00D44766">
        <w:rPr>
          <w:rFonts w:cs="Times New Roman"/>
          <w:szCs w:val="24"/>
          <w:lang w:val="en-GB"/>
        </w:rPr>
        <w:t xml:space="preserve">As a supplement and secondary to the above exploration of consumer attitudes in reference to CSR, there is a need for a further detailed look into luxury consumers behaviours also in relation to travel and tourism. As </w:t>
      </w:r>
      <w:r w:rsidR="008A1E3D" w:rsidRPr="000D27BF">
        <w:rPr>
          <w:rFonts w:cs="Times New Roman"/>
          <w:color w:val="00B050"/>
          <w:szCs w:val="24"/>
          <w:lang w:val="en-GB"/>
        </w:rPr>
        <w:t>Davies</w:t>
      </w:r>
      <w:r w:rsidR="000D27BF" w:rsidRPr="000D27BF">
        <w:rPr>
          <w:rFonts w:cs="Times New Roman"/>
          <w:color w:val="00B050"/>
          <w:szCs w:val="24"/>
          <w:lang w:val="en-GB"/>
        </w:rPr>
        <w:t>, Lee and Ahonkhai</w:t>
      </w:r>
      <w:r w:rsidR="008A1E3D" w:rsidRPr="00D44766">
        <w:rPr>
          <w:rFonts w:cs="Times New Roman"/>
          <w:szCs w:val="24"/>
          <w:lang w:val="en-GB"/>
        </w:rPr>
        <w:t xml:space="preserve"> </w:t>
      </w:r>
      <w:r w:rsidR="008A1E3D" w:rsidRPr="000D27BF">
        <w:rPr>
          <w:rFonts w:cs="Times New Roman"/>
          <w:color w:val="00B050"/>
          <w:szCs w:val="24"/>
          <w:lang w:val="en-GB"/>
        </w:rPr>
        <w:t>(2012)</w:t>
      </w:r>
      <w:r w:rsidR="008A1E3D" w:rsidRPr="00D44766">
        <w:rPr>
          <w:rFonts w:cs="Times New Roman"/>
          <w:szCs w:val="24"/>
          <w:lang w:val="en-GB"/>
        </w:rPr>
        <w:t xml:space="preserve"> argue consumers are less likely to consider CSR criteria into their purchasing decision when buying luxury goods compared to </w:t>
      </w:r>
      <w:r w:rsidR="00B46056" w:rsidRPr="00D44766">
        <w:rPr>
          <w:rFonts w:cs="Times New Roman"/>
          <w:szCs w:val="24"/>
          <w:lang w:val="en-GB"/>
        </w:rPr>
        <w:t>fast-moving consumer goods (FCMG)</w:t>
      </w:r>
      <w:r w:rsidR="00EE050B" w:rsidRPr="00D44766">
        <w:rPr>
          <w:rFonts w:cs="Times New Roman"/>
          <w:szCs w:val="24"/>
          <w:lang w:val="en-GB"/>
        </w:rPr>
        <w:t xml:space="preserve">. They explain this </w:t>
      </w:r>
      <w:r w:rsidR="00B46056" w:rsidRPr="00D44766">
        <w:rPr>
          <w:rFonts w:cs="Times New Roman"/>
          <w:szCs w:val="24"/>
          <w:lang w:val="en-GB"/>
        </w:rPr>
        <w:t>through the fact that the purchase of luxury good</w:t>
      </w:r>
      <w:r w:rsidR="00EE050B" w:rsidRPr="00D44766">
        <w:rPr>
          <w:rFonts w:cs="Times New Roman"/>
          <w:szCs w:val="24"/>
          <w:lang w:val="en-GB"/>
        </w:rPr>
        <w:t>s</w:t>
      </w:r>
      <w:r w:rsidR="00B46056" w:rsidRPr="00D44766">
        <w:rPr>
          <w:rFonts w:cs="Times New Roman"/>
          <w:szCs w:val="24"/>
          <w:lang w:val="en-GB"/>
        </w:rPr>
        <w:t xml:space="preserve"> does only happen occasionally and thus, consumers believe that their impact through the purchase is not that severe as compared to every-day products</w:t>
      </w:r>
      <w:r w:rsidR="00EE050B" w:rsidRPr="00D44766">
        <w:rPr>
          <w:rFonts w:cs="Times New Roman"/>
          <w:szCs w:val="24"/>
          <w:lang w:val="en-GB"/>
        </w:rPr>
        <w:t>. M</w:t>
      </w:r>
      <w:r w:rsidR="00B46056" w:rsidRPr="00D44766">
        <w:rPr>
          <w:rFonts w:cs="Times New Roman"/>
          <w:szCs w:val="24"/>
          <w:lang w:val="en-GB"/>
        </w:rPr>
        <w:t>oreover, consumer do have the inherent believe that luxury brands do concern themselves with all aspects of environmental and ethical concerns (assumption based on the rate)</w:t>
      </w:r>
      <w:r w:rsidR="00EE050B" w:rsidRPr="00D44766">
        <w:rPr>
          <w:rFonts w:cs="Times New Roman"/>
          <w:szCs w:val="24"/>
          <w:lang w:val="en-GB"/>
        </w:rPr>
        <w:t xml:space="preserve"> anyhow</w:t>
      </w:r>
      <w:r w:rsidR="00B46056" w:rsidRPr="00D44766">
        <w:rPr>
          <w:rFonts w:cs="Times New Roman"/>
          <w:szCs w:val="24"/>
          <w:lang w:val="en-GB"/>
        </w:rPr>
        <w:t xml:space="preserve"> and that these luxury companies are obeying respective laws about protection a</w:t>
      </w:r>
      <w:r w:rsidR="00EE050B" w:rsidRPr="00D44766">
        <w:rPr>
          <w:rFonts w:cs="Times New Roman"/>
          <w:szCs w:val="24"/>
          <w:lang w:val="en-GB"/>
        </w:rPr>
        <w:t xml:space="preserve">lready </w:t>
      </w:r>
      <w:r w:rsidR="00B46056" w:rsidRPr="00D44766">
        <w:rPr>
          <w:rFonts w:cs="Times New Roman"/>
          <w:szCs w:val="24"/>
          <w:lang w:val="en-GB"/>
        </w:rPr>
        <w:t>(</w:t>
      </w:r>
      <w:r w:rsidR="000507B8" w:rsidRPr="000D27BF">
        <w:rPr>
          <w:rFonts w:cs="Times New Roman"/>
          <w:color w:val="00B050"/>
          <w:szCs w:val="24"/>
          <w:lang w:val="en-GB"/>
        </w:rPr>
        <w:t>Davies, Lee and Ahonkhai</w:t>
      </w:r>
      <w:r w:rsidR="000507B8" w:rsidRPr="000507B8">
        <w:rPr>
          <w:rFonts w:cs="Times New Roman"/>
          <w:color w:val="00B050"/>
          <w:szCs w:val="24"/>
          <w:lang w:val="en-GB"/>
        </w:rPr>
        <w:t xml:space="preserve">, </w:t>
      </w:r>
      <w:r w:rsidR="00B46056" w:rsidRPr="000507B8">
        <w:rPr>
          <w:rFonts w:cs="Times New Roman"/>
          <w:color w:val="00B050"/>
          <w:szCs w:val="24"/>
          <w:lang w:val="en-GB"/>
        </w:rPr>
        <w:t>2012</w:t>
      </w:r>
      <w:r w:rsidR="00B46056" w:rsidRPr="00D44766">
        <w:rPr>
          <w:rFonts w:cs="Times New Roman"/>
          <w:szCs w:val="24"/>
          <w:lang w:val="en-GB"/>
        </w:rPr>
        <w:t>).</w:t>
      </w:r>
      <w:r w:rsidR="00F646DE" w:rsidRPr="00D44766">
        <w:rPr>
          <w:rFonts w:cs="Times New Roman"/>
          <w:szCs w:val="24"/>
          <w:lang w:val="en-GB"/>
        </w:rPr>
        <w:t xml:space="preserve"> Ehrich and Irwin (2005) even attest luxury consumers a deliberate ignorance </w:t>
      </w:r>
      <w:r w:rsidR="00EE050B" w:rsidRPr="00D44766">
        <w:rPr>
          <w:rFonts w:cs="Times New Roman"/>
          <w:szCs w:val="24"/>
          <w:lang w:val="en-GB"/>
        </w:rPr>
        <w:t xml:space="preserve">to </w:t>
      </w:r>
      <w:r w:rsidR="00F646DE" w:rsidRPr="00D44766">
        <w:rPr>
          <w:rFonts w:cs="Times New Roman"/>
          <w:szCs w:val="24"/>
          <w:lang w:val="en-GB"/>
        </w:rPr>
        <w:t xml:space="preserve">ethical concerns </w:t>
      </w:r>
      <w:r w:rsidR="00EE050B" w:rsidRPr="00D44766">
        <w:rPr>
          <w:rFonts w:cs="Times New Roman"/>
          <w:szCs w:val="24"/>
          <w:lang w:val="en-GB"/>
        </w:rPr>
        <w:t xml:space="preserve">in order </w:t>
      </w:r>
      <w:r w:rsidR="00F646DE" w:rsidRPr="00D44766">
        <w:rPr>
          <w:rFonts w:cs="Times New Roman"/>
          <w:szCs w:val="24"/>
          <w:lang w:val="en-GB"/>
        </w:rPr>
        <w:t>to shield themselves from negative emotions and potential guilt and to savour ‘the dream’</w:t>
      </w:r>
      <w:r w:rsidR="00320FA1" w:rsidRPr="00D44766">
        <w:rPr>
          <w:rFonts w:cs="Times New Roman"/>
          <w:szCs w:val="24"/>
          <w:lang w:val="en-GB"/>
        </w:rPr>
        <w:t xml:space="preserve">. </w:t>
      </w:r>
      <w:r w:rsidR="00F646DE" w:rsidRPr="00D44766">
        <w:rPr>
          <w:rFonts w:cs="Times New Roman"/>
          <w:szCs w:val="24"/>
          <w:lang w:val="en-GB"/>
        </w:rPr>
        <w:t xml:space="preserve">Kapferer and Michaut (2015) coin this as selective avoidance but simultaneously agree with </w:t>
      </w:r>
      <w:r w:rsidR="000507B8" w:rsidRPr="000D27BF">
        <w:rPr>
          <w:rFonts w:cs="Times New Roman"/>
          <w:color w:val="00B050"/>
          <w:szCs w:val="24"/>
          <w:lang w:val="en-GB"/>
        </w:rPr>
        <w:t xml:space="preserve">Davies, Lee and </w:t>
      </w:r>
      <w:r w:rsidR="000507B8" w:rsidRPr="000507B8">
        <w:rPr>
          <w:rFonts w:cs="Times New Roman"/>
          <w:color w:val="00B050"/>
          <w:szCs w:val="24"/>
          <w:lang w:val="en-GB"/>
        </w:rPr>
        <w:t>Ahonkhai</w:t>
      </w:r>
      <w:r w:rsidR="00F646DE" w:rsidRPr="000507B8">
        <w:rPr>
          <w:rFonts w:cs="Times New Roman"/>
          <w:color w:val="00B050"/>
          <w:szCs w:val="24"/>
          <w:lang w:val="en-GB"/>
        </w:rPr>
        <w:t xml:space="preserve"> </w:t>
      </w:r>
      <w:r w:rsidR="00B158C2" w:rsidRPr="000507B8">
        <w:rPr>
          <w:rFonts w:cs="Times New Roman"/>
          <w:color w:val="00B050"/>
          <w:szCs w:val="24"/>
          <w:lang w:val="en-GB"/>
        </w:rPr>
        <w:t>(2012</w:t>
      </w:r>
      <w:r w:rsidR="00B158C2" w:rsidRPr="00D44766">
        <w:rPr>
          <w:rFonts w:cs="Times New Roman"/>
          <w:szCs w:val="24"/>
          <w:lang w:val="en-GB"/>
        </w:rPr>
        <w:t>) that luxury clients have certain expectations towards the respective brand</w:t>
      </w:r>
      <w:r w:rsidR="00CA2E09" w:rsidRPr="00D44766">
        <w:rPr>
          <w:rFonts w:cs="Times New Roman"/>
          <w:szCs w:val="24"/>
          <w:lang w:val="en-GB"/>
        </w:rPr>
        <w:t>s</w:t>
      </w:r>
      <w:r w:rsidR="00B158C2" w:rsidRPr="00D44766">
        <w:rPr>
          <w:rFonts w:cs="Times New Roman"/>
          <w:szCs w:val="24"/>
          <w:lang w:val="en-GB"/>
        </w:rPr>
        <w:t xml:space="preserve"> </w:t>
      </w:r>
      <w:r w:rsidR="00CA2E09" w:rsidRPr="00D44766">
        <w:rPr>
          <w:rFonts w:cs="Times New Roman"/>
          <w:szCs w:val="24"/>
          <w:lang w:val="en-GB"/>
        </w:rPr>
        <w:t xml:space="preserve">to </w:t>
      </w:r>
      <w:r w:rsidR="00320FA1" w:rsidRPr="00D44766">
        <w:rPr>
          <w:rFonts w:cs="Times New Roman"/>
          <w:szCs w:val="24"/>
          <w:lang w:val="en-GB"/>
        </w:rPr>
        <w:t>already</w:t>
      </w:r>
      <w:r w:rsidR="00B158C2" w:rsidRPr="00D44766">
        <w:rPr>
          <w:rFonts w:cs="Times New Roman"/>
          <w:szCs w:val="24"/>
          <w:lang w:val="en-GB"/>
        </w:rPr>
        <w:t xml:space="preserve"> </w:t>
      </w:r>
      <w:r w:rsidR="00CA2E09" w:rsidRPr="00D44766">
        <w:rPr>
          <w:rFonts w:cs="Times New Roman"/>
          <w:szCs w:val="24"/>
          <w:lang w:val="en-GB"/>
        </w:rPr>
        <w:t xml:space="preserve">have </w:t>
      </w:r>
      <w:r w:rsidR="00B158C2" w:rsidRPr="00D44766">
        <w:rPr>
          <w:rFonts w:cs="Times New Roman"/>
          <w:szCs w:val="24"/>
          <w:lang w:val="en-GB"/>
        </w:rPr>
        <w:t>take</w:t>
      </w:r>
      <w:r w:rsidR="00CA2E09" w:rsidRPr="00D44766">
        <w:rPr>
          <w:rFonts w:cs="Times New Roman"/>
          <w:szCs w:val="24"/>
          <w:lang w:val="en-GB"/>
        </w:rPr>
        <w:t>n</w:t>
      </w:r>
      <w:r w:rsidR="00B158C2" w:rsidRPr="00D44766">
        <w:rPr>
          <w:rFonts w:cs="Times New Roman"/>
          <w:szCs w:val="24"/>
          <w:lang w:val="en-GB"/>
        </w:rPr>
        <w:t xml:space="preserve"> over responsibility and consider social and environmental criteria and set examples</w:t>
      </w:r>
      <w:r w:rsidR="00320FA1" w:rsidRPr="00D44766">
        <w:rPr>
          <w:rFonts w:cs="Times New Roman"/>
          <w:szCs w:val="24"/>
          <w:lang w:val="en-GB"/>
        </w:rPr>
        <w:t xml:space="preserve"> for the industries at large</w:t>
      </w:r>
      <w:r w:rsidR="00B158C2" w:rsidRPr="00D44766">
        <w:rPr>
          <w:rFonts w:cs="Times New Roman"/>
          <w:szCs w:val="24"/>
          <w:lang w:val="en-GB"/>
        </w:rPr>
        <w:t xml:space="preserve">. Hence, sustainability can be regarded has having become an </w:t>
      </w:r>
      <w:r w:rsidR="00B158C2" w:rsidRPr="00D44766">
        <w:rPr>
          <w:rFonts w:cs="Times New Roman"/>
          <w:i/>
          <w:iCs/>
          <w:szCs w:val="24"/>
          <w:lang w:val="en-GB"/>
        </w:rPr>
        <w:t>implicit need</w:t>
      </w:r>
      <w:r w:rsidR="00B158C2" w:rsidRPr="00D44766">
        <w:rPr>
          <w:rFonts w:cs="Times New Roman"/>
          <w:szCs w:val="24"/>
          <w:lang w:val="en-GB"/>
        </w:rPr>
        <w:t xml:space="preserve"> (</w:t>
      </w:r>
      <w:r w:rsidR="00B158C2" w:rsidRPr="00E51477">
        <w:rPr>
          <w:rFonts w:cs="Times New Roman"/>
          <w:color w:val="70AD47" w:themeColor="accent6"/>
          <w:szCs w:val="24"/>
          <w:lang w:val="en-GB"/>
        </w:rPr>
        <w:t>Berger</w:t>
      </w:r>
      <w:r w:rsidR="00A57C73">
        <w:rPr>
          <w:rFonts w:cs="Times New Roman"/>
          <w:color w:val="70AD47" w:themeColor="accent6"/>
          <w:szCs w:val="24"/>
          <w:lang w:val="en-GB"/>
        </w:rPr>
        <w:t xml:space="preserve"> et al.</w:t>
      </w:r>
      <w:r w:rsidR="00B158C2" w:rsidRPr="00E51477">
        <w:rPr>
          <w:rFonts w:cs="Times New Roman"/>
          <w:color w:val="70AD47" w:themeColor="accent6"/>
          <w:szCs w:val="24"/>
          <w:lang w:val="en-GB"/>
        </w:rPr>
        <w:t>, 1993</w:t>
      </w:r>
      <w:r w:rsidR="00B158C2" w:rsidRPr="00D44766">
        <w:rPr>
          <w:rFonts w:cs="Times New Roman"/>
          <w:szCs w:val="24"/>
          <w:lang w:val="en-GB"/>
        </w:rPr>
        <w:t>) and a crucial element that is inherently expected by luxury consumers (</w:t>
      </w:r>
      <w:r w:rsidR="00AA4179" w:rsidRPr="00E51477">
        <w:rPr>
          <w:rFonts w:cs="Times New Roman"/>
          <w:color w:val="70AD47" w:themeColor="accent6"/>
          <w:szCs w:val="24"/>
          <w:lang w:val="en-GB"/>
        </w:rPr>
        <w:t>Kapferer and Michaut, 2015).</w:t>
      </w:r>
      <w:r w:rsidR="00AA4179" w:rsidRPr="00D44766">
        <w:rPr>
          <w:rFonts w:cs="Times New Roman"/>
          <w:szCs w:val="24"/>
          <w:lang w:val="en-GB"/>
        </w:rPr>
        <w:t xml:space="preserve"> </w:t>
      </w:r>
    </w:p>
    <w:p w14:paraId="6044CF1B" w14:textId="7BD5CD96" w:rsidR="007427FB" w:rsidRPr="00D44766" w:rsidRDefault="00320FA1" w:rsidP="00E83FC1">
      <w:pPr>
        <w:contextualSpacing/>
        <w:rPr>
          <w:rFonts w:cs="Times New Roman"/>
          <w:lang w:val="en-GB"/>
        </w:rPr>
      </w:pPr>
      <w:r w:rsidRPr="00D44766">
        <w:rPr>
          <w:rFonts w:cs="Times New Roman"/>
          <w:szCs w:val="24"/>
          <w:lang w:val="en-GB"/>
        </w:rPr>
        <w:t>Nevertheless,</w:t>
      </w:r>
      <w:r w:rsidR="007311EF" w:rsidRPr="00D44766">
        <w:rPr>
          <w:rFonts w:cs="Times New Roman"/>
          <w:szCs w:val="24"/>
          <w:lang w:val="en-GB"/>
        </w:rPr>
        <w:t xml:space="preserve"> despite a growing awareness </w:t>
      </w:r>
      <w:r w:rsidR="00CA2E09" w:rsidRPr="00D44766">
        <w:rPr>
          <w:rFonts w:cs="Times New Roman"/>
          <w:szCs w:val="24"/>
          <w:lang w:val="en-GB"/>
        </w:rPr>
        <w:t>for</w:t>
      </w:r>
      <w:r w:rsidR="007311EF" w:rsidRPr="00D44766">
        <w:rPr>
          <w:rFonts w:cs="Times New Roman"/>
          <w:szCs w:val="24"/>
          <w:lang w:val="en-GB"/>
        </w:rPr>
        <w:t xml:space="preserve"> the necessities of CSR activities and the subsequent support for sustainability causes</w:t>
      </w:r>
      <w:r w:rsidRPr="00D44766">
        <w:rPr>
          <w:rFonts w:cs="Times New Roman"/>
          <w:szCs w:val="24"/>
          <w:lang w:val="en-GB"/>
        </w:rPr>
        <w:t xml:space="preserve">, these factors </w:t>
      </w:r>
      <w:r w:rsidR="007311EF" w:rsidRPr="00D44766">
        <w:rPr>
          <w:rFonts w:cs="Times New Roman"/>
          <w:szCs w:val="24"/>
          <w:lang w:val="en-GB"/>
        </w:rPr>
        <w:t xml:space="preserve">still remain a secondary criterion within the buying decision process </w:t>
      </w:r>
      <w:r w:rsidRPr="00D44766">
        <w:rPr>
          <w:rFonts w:cs="Times New Roman"/>
          <w:szCs w:val="24"/>
          <w:lang w:val="en-GB"/>
        </w:rPr>
        <w:t>with</w:t>
      </w:r>
      <w:r w:rsidR="007311EF" w:rsidRPr="00D44766">
        <w:rPr>
          <w:rFonts w:cs="Times New Roman"/>
          <w:szCs w:val="24"/>
          <w:lang w:val="en-GB"/>
        </w:rPr>
        <w:t xml:space="preserve"> the major focus </w:t>
      </w:r>
      <w:r w:rsidRPr="00D44766">
        <w:rPr>
          <w:rFonts w:cs="Times New Roman"/>
          <w:szCs w:val="24"/>
          <w:lang w:val="en-GB"/>
        </w:rPr>
        <w:t xml:space="preserve">remaining </w:t>
      </w:r>
      <w:r w:rsidR="007311EF" w:rsidRPr="00D44766">
        <w:rPr>
          <w:rFonts w:cs="Times New Roman"/>
          <w:szCs w:val="24"/>
          <w:lang w:val="en-GB"/>
        </w:rPr>
        <w:t>on the quality features of the products (</w:t>
      </w:r>
      <w:r w:rsidR="007311EF" w:rsidRPr="000D27BF">
        <w:rPr>
          <w:rFonts w:cs="Times New Roman"/>
          <w:color w:val="00B050"/>
          <w:szCs w:val="24"/>
          <w:lang w:val="en-GB"/>
        </w:rPr>
        <w:t>Achabou and Dekhili, 2013</w:t>
      </w:r>
      <w:r w:rsidR="007311EF" w:rsidRPr="00D44766">
        <w:rPr>
          <w:rFonts w:cs="Times New Roman"/>
          <w:szCs w:val="24"/>
          <w:lang w:val="en-GB"/>
        </w:rPr>
        <w:t xml:space="preserve">). </w:t>
      </w:r>
      <w:r w:rsidR="00AA4179" w:rsidRPr="000507B8">
        <w:rPr>
          <w:rFonts w:cs="Times New Roman"/>
          <w:color w:val="00B050"/>
          <w:szCs w:val="24"/>
          <w:lang w:val="en-GB"/>
        </w:rPr>
        <w:t>Leary</w:t>
      </w:r>
      <w:r w:rsidR="00A352E2">
        <w:rPr>
          <w:rFonts w:cs="Times New Roman"/>
          <w:color w:val="00B050"/>
          <w:szCs w:val="24"/>
          <w:lang w:val="en-GB"/>
        </w:rPr>
        <w:t xml:space="preserve"> et al. </w:t>
      </w:r>
      <w:r w:rsidR="007311EF" w:rsidRPr="000507B8">
        <w:rPr>
          <w:rFonts w:cs="Times New Roman"/>
          <w:color w:val="00B050"/>
          <w:szCs w:val="24"/>
          <w:lang w:val="en-GB"/>
        </w:rPr>
        <w:t>(</w:t>
      </w:r>
      <w:r w:rsidR="00AA4179" w:rsidRPr="000507B8">
        <w:rPr>
          <w:rFonts w:cs="Times New Roman"/>
          <w:color w:val="00B050"/>
          <w:szCs w:val="24"/>
          <w:lang w:val="en-GB"/>
        </w:rPr>
        <w:t>2014</w:t>
      </w:r>
      <w:r w:rsidR="007311EF" w:rsidRPr="000507B8">
        <w:rPr>
          <w:rFonts w:cs="Times New Roman"/>
          <w:color w:val="00B050"/>
          <w:szCs w:val="24"/>
          <w:lang w:val="en-GB"/>
        </w:rPr>
        <w:t>)</w:t>
      </w:r>
      <w:r w:rsidR="00AA4179" w:rsidRPr="00D44766">
        <w:rPr>
          <w:rFonts w:cs="Times New Roman"/>
          <w:szCs w:val="24"/>
          <w:lang w:val="en-GB"/>
        </w:rPr>
        <w:t xml:space="preserve"> show in their research that </w:t>
      </w:r>
      <w:r w:rsidR="007311EF" w:rsidRPr="00D44766">
        <w:rPr>
          <w:rFonts w:cs="Times New Roman"/>
          <w:szCs w:val="24"/>
          <w:lang w:val="en-GB"/>
        </w:rPr>
        <w:t>ethical concerns only translate into actual (purchasing) behaviour once clients feel their action will lead to a snowball effect and that their decision can actually influence the market.</w:t>
      </w:r>
      <w:r w:rsidR="00D33E30" w:rsidRPr="00D44766">
        <w:rPr>
          <w:rFonts w:cs="Times New Roman"/>
          <w:szCs w:val="24"/>
          <w:lang w:val="en-GB"/>
        </w:rPr>
        <w:t xml:space="preserve"> But </w:t>
      </w:r>
      <w:r w:rsidR="00D33E30" w:rsidRPr="00D44766">
        <w:rPr>
          <w:rFonts w:cs="Times New Roman"/>
          <w:szCs w:val="24"/>
          <w:lang w:val="en-GB"/>
        </w:rPr>
        <w:lastRenderedPageBreak/>
        <w:t xml:space="preserve">there are other studies (see </w:t>
      </w:r>
      <w:r w:rsidR="000507B8" w:rsidRPr="000D27BF">
        <w:rPr>
          <w:rFonts w:cs="Times New Roman"/>
          <w:color w:val="00B050"/>
          <w:szCs w:val="24"/>
          <w:lang w:val="en-GB"/>
        </w:rPr>
        <w:t>Davies, Lee and Ahonkhai</w:t>
      </w:r>
      <w:r w:rsidR="00D33E30" w:rsidRPr="00D44766">
        <w:rPr>
          <w:rFonts w:cs="Times New Roman"/>
          <w:szCs w:val="24"/>
          <w:lang w:val="en-GB"/>
        </w:rPr>
        <w:t xml:space="preserve">, </w:t>
      </w:r>
      <w:r w:rsidR="00D33E30" w:rsidRPr="000507B8">
        <w:rPr>
          <w:rFonts w:cs="Times New Roman"/>
          <w:color w:val="00B050"/>
          <w:szCs w:val="24"/>
          <w:lang w:val="en-GB"/>
        </w:rPr>
        <w:t>2012;</w:t>
      </w:r>
      <w:r w:rsidR="00D33E30" w:rsidRPr="00D44766">
        <w:rPr>
          <w:rFonts w:cs="Times New Roman"/>
          <w:szCs w:val="24"/>
          <w:lang w:val="en-GB"/>
        </w:rPr>
        <w:t xml:space="preserve"> </w:t>
      </w:r>
      <w:r w:rsidR="00D33E30" w:rsidRPr="000507B8">
        <w:rPr>
          <w:rFonts w:cs="Times New Roman"/>
          <w:color w:val="00B050"/>
          <w:szCs w:val="24"/>
          <w:lang w:val="en-GB"/>
        </w:rPr>
        <w:t>Griskevicius</w:t>
      </w:r>
      <w:r w:rsidR="000507B8" w:rsidRPr="000507B8">
        <w:rPr>
          <w:rFonts w:cs="Times New Roman"/>
          <w:color w:val="00B050"/>
          <w:szCs w:val="24"/>
          <w:lang w:val="en-GB"/>
        </w:rPr>
        <w:t>, Tybur and Van den Bergh</w:t>
      </w:r>
      <w:r w:rsidR="00D33E30" w:rsidRPr="000507B8">
        <w:rPr>
          <w:rFonts w:cs="Times New Roman"/>
          <w:color w:val="00B050"/>
          <w:szCs w:val="24"/>
          <w:lang w:val="en-GB"/>
        </w:rPr>
        <w:t>, 2010</w:t>
      </w:r>
      <w:r w:rsidR="00D33E30" w:rsidRPr="00D44766">
        <w:rPr>
          <w:rFonts w:cs="Times New Roman"/>
          <w:szCs w:val="24"/>
          <w:lang w:val="en-GB"/>
        </w:rPr>
        <w:t xml:space="preserve">) </w:t>
      </w:r>
      <w:r w:rsidRPr="00D44766">
        <w:rPr>
          <w:rFonts w:cs="Times New Roman"/>
          <w:szCs w:val="24"/>
          <w:lang w:val="en-GB"/>
        </w:rPr>
        <w:t xml:space="preserve">that </w:t>
      </w:r>
      <w:r w:rsidR="00D33E30" w:rsidRPr="00D44766">
        <w:rPr>
          <w:rFonts w:cs="Times New Roman"/>
          <w:szCs w:val="24"/>
          <w:lang w:val="en-GB"/>
        </w:rPr>
        <w:t xml:space="preserve">show that CSR does not seem to influence decision making in a luxury context. </w:t>
      </w:r>
      <w:r w:rsidR="00161935">
        <w:rPr>
          <w:rFonts w:cs="Times New Roman"/>
          <w:szCs w:val="24"/>
          <w:lang w:val="en-GB"/>
        </w:rPr>
        <w:t xml:space="preserve">Overall, it can be said that despite the particularities </w:t>
      </w:r>
      <w:r w:rsidR="00AA4179" w:rsidRPr="00D44766">
        <w:rPr>
          <w:rFonts w:cs="Times New Roman"/>
          <w:szCs w:val="24"/>
          <w:lang w:val="en-GB"/>
        </w:rPr>
        <w:t>of the luxury industry</w:t>
      </w:r>
      <w:r w:rsidR="00161935">
        <w:rPr>
          <w:rFonts w:cs="Times New Roman"/>
          <w:szCs w:val="24"/>
          <w:lang w:val="en-GB"/>
        </w:rPr>
        <w:t>,</w:t>
      </w:r>
      <w:r w:rsidR="00AA4179" w:rsidRPr="00D44766">
        <w:rPr>
          <w:rFonts w:cs="Times New Roman"/>
          <w:szCs w:val="24"/>
          <w:lang w:val="en-GB"/>
        </w:rPr>
        <w:t xml:space="preserve"> the segment does not seem to be differing that much from other sectors as consumers also show a behaviour gap. In theory, they support CSR and care </w:t>
      </w:r>
      <w:r w:rsidR="00161935">
        <w:rPr>
          <w:rFonts w:cs="Times New Roman"/>
          <w:szCs w:val="24"/>
          <w:lang w:val="en-GB"/>
        </w:rPr>
        <w:t>for</w:t>
      </w:r>
      <w:r w:rsidR="00AA4179" w:rsidRPr="00D44766">
        <w:rPr>
          <w:rFonts w:cs="Times New Roman"/>
          <w:szCs w:val="24"/>
          <w:lang w:val="en-GB"/>
        </w:rPr>
        <w:t xml:space="preserve"> ethical </w:t>
      </w:r>
      <w:r w:rsidR="00E239E1" w:rsidRPr="00D44766">
        <w:rPr>
          <w:rFonts w:cs="Times New Roman"/>
          <w:szCs w:val="24"/>
          <w:lang w:val="en-GB"/>
        </w:rPr>
        <w:t>criteria,</w:t>
      </w:r>
      <w:r w:rsidR="00AA4179" w:rsidRPr="00D44766">
        <w:rPr>
          <w:rFonts w:cs="Times New Roman"/>
          <w:szCs w:val="24"/>
          <w:lang w:val="en-GB"/>
        </w:rPr>
        <w:t xml:space="preserve"> but they are not willing to pay a premium price for it (</w:t>
      </w:r>
      <w:r w:rsidR="00AA4179" w:rsidRPr="002C1FA2">
        <w:rPr>
          <w:rFonts w:cs="Times New Roman"/>
          <w:color w:val="00B050"/>
          <w:szCs w:val="24"/>
          <w:lang w:val="en-GB"/>
        </w:rPr>
        <w:t>Bhattacharya and Sen, 2004</w:t>
      </w:r>
      <w:r w:rsidR="00AA4179" w:rsidRPr="00D44766">
        <w:rPr>
          <w:rFonts w:cs="Times New Roman"/>
          <w:szCs w:val="24"/>
          <w:lang w:val="en-GB"/>
        </w:rPr>
        <w:t>)</w:t>
      </w:r>
      <w:r w:rsidRPr="00D44766">
        <w:rPr>
          <w:rFonts w:cs="Times New Roman"/>
          <w:szCs w:val="24"/>
          <w:lang w:val="en-GB"/>
        </w:rPr>
        <w:t xml:space="preserve"> and feel that the luxury brands should have already incorporated these issues into their operations</w:t>
      </w:r>
      <w:r w:rsidR="00AA4179" w:rsidRPr="00D44766">
        <w:rPr>
          <w:rFonts w:cs="Times New Roman"/>
          <w:szCs w:val="24"/>
          <w:lang w:val="en-GB"/>
        </w:rPr>
        <w:t xml:space="preserve">. </w:t>
      </w:r>
      <w:r w:rsidR="00161935">
        <w:rPr>
          <w:rFonts w:cs="Times New Roman"/>
          <w:szCs w:val="24"/>
          <w:lang w:val="en-GB"/>
        </w:rPr>
        <w:t xml:space="preserve">Responsibility and morale is being shifted to the companies. </w:t>
      </w:r>
      <w:r w:rsidR="00DD62E4" w:rsidRPr="00D44766">
        <w:rPr>
          <w:rFonts w:cs="Times New Roman"/>
          <w:szCs w:val="24"/>
          <w:lang w:val="en-GB"/>
        </w:rPr>
        <w:t>Concluding here, luxury clientele can hardly be regarded as driving fo</w:t>
      </w:r>
      <w:r w:rsidR="00CA12D7" w:rsidRPr="00D44766">
        <w:rPr>
          <w:rFonts w:cs="Times New Roman"/>
          <w:szCs w:val="24"/>
          <w:lang w:val="en-GB"/>
        </w:rPr>
        <w:t>rce to induce change in the luxury industry</w:t>
      </w:r>
      <w:r w:rsidR="00CA2E09" w:rsidRPr="00D44766">
        <w:rPr>
          <w:rFonts w:cs="Times New Roman"/>
          <w:szCs w:val="24"/>
          <w:lang w:val="en-GB"/>
        </w:rPr>
        <w:t xml:space="preserve"> and</w:t>
      </w:r>
      <w:r w:rsidR="00CA12D7" w:rsidRPr="00D44766">
        <w:rPr>
          <w:rFonts w:cs="Times New Roman"/>
          <w:szCs w:val="24"/>
          <w:lang w:val="en-GB"/>
        </w:rPr>
        <w:t xml:space="preserve"> as various studies show (</w:t>
      </w:r>
      <w:r w:rsidR="00CA12D7" w:rsidRPr="00CE6E16">
        <w:rPr>
          <w:rFonts w:cs="Times New Roman"/>
          <w:color w:val="00B050"/>
          <w:lang w:val="en-GB"/>
        </w:rPr>
        <w:t>Carrigan and Attalla, 2001; Joergens, 2006;</w:t>
      </w:r>
      <w:r w:rsidR="00CA12D7" w:rsidRPr="00D44766">
        <w:rPr>
          <w:rFonts w:cs="Times New Roman"/>
          <w:lang w:val="en-GB"/>
        </w:rPr>
        <w:t xml:space="preserve"> </w:t>
      </w:r>
      <w:r w:rsidR="00CA12D7" w:rsidRPr="000D27BF">
        <w:rPr>
          <w:rFonts w:cs="Times New Roman"/>
          <w:color w:val="00B050"/>
          <w:lang w:val="en-GB"/>
        </w:rPr>
        <w:t xml:space="preserve">Achabou and Dekhili, </w:t>
      </w:r>
      <w:r w:rsidR="00CA12D7" w:rsidRPr="00CE6E16">
        <w:rPr>
          <w:rFonts w:cs="Times New Roman"/>
          <w:color w:val="00B050"/>
          <w:lang w:val="en-GB"/>
        </w:rPr>
        <w:t>2013; Cervellon and Shammas, 2013;</w:t>
      </w:r>
      <w:r w:rsidR="00CE6E16">
        <w:rPr>
          <w:rFonts w:cs="Times New Roman"/>
          <w:lang w:val="en-GB"/>
        </w:rPr>
        <w:t xml:space="preserve"> </w:t>
      </w:r>
      <w:r w:rsidR="00CA12D7" w:rsidRPr="00CE6E16">
        <w:rPr>
          <w:rFonts w:cs="Times New Roman"/>
          <w:color w:val="00B050"/>
          <w:lang w:val="en-GB"/>
        </w:rPr>
        <w:t>Beckham</w:t>
      </w:r>
      <w:r w:rsidR="00CE6E16" w:rsidRPr="00CE6E16">
        <w:rPr>
          <w:rFonts w:cs="Times New Roman"/>
          <w:color w:val="00B050"/>
          <w:lang w:val="en-GB"/>
        </w:rPr>
        <w:t xml:space="preserve"> and Voyer</w:t>
      </w:r>
      <w:r w:rsidR="00CA12D7" w:rsidRPr="00CE6E16">
        <w:rPr>
          <w:rFonts w:cs="Times New Roman"/>
          <w:color w:val="00B050"/>
          <w:lang w:val="en-GB"/>
        </w:rPr>
        <w:t>, 2014</w:t>
      </w:r>
      <w:r w:rsidR="00CA12D7" w:rsidRPr="00D44766">
        <w:rPr>
          <w:rFonts w:cs="Times New Roman"/>
          <w:lang w:val="en-GB"/>
        </w:rPr>
        <w:t xml:space="preserve">; </w:t>
      </w:r>
      <w:r w:rsidR="00CA12D7" w:rsidRPr="00CE6E16">
        <w:rPr>
          <w:rFonts w:cs="Times New Roman"/>
          <w:color w:val="00B050"/>
          <w:lang w:val="en-GB"/>
        </w:rPr>
        <w:t>Kapferer and Michaut</w:t>
      </w:r>
      <w:r w:rsidR="00CE6E16" w:rsidRPr="00CE6E16">
        <w:rPr>
          <w:rFonts w:cs="Times New Roman"/>
          <w:color w:val="00B050"/>
          <w:lang w:val="en-GB"/>
        </w:rPr>
        <w:t>-Denizeau</w:t>
      </w:r>
      <w:r w:rsidR="00CA12D7" w:rsidRPr="00CE6E16">
        <w:rPr>
          <w:rFonts w:cs="Times New Roman"/>
          <w:color w:val="00B050"/>
          <w:lang w:val="en-GB"/>
        </w:rPr>
        <w:t xml:space="preserve">, 2014, </w:t>
      </w:r>
      <w:r w:rsidR="00CE6E16" w:rsidRPr="00CE6E16">
        <w:rPr>
          <w:rFonts w:cs="Times New Roman"/>
          <w:color w:val="00B050"/>
          <w:lang w:val="en-GB"/>
        </w:rPr>
        <w:t xml:space="preserve">Kapferer and Michaut, </w:t>
      </w:r>
      <w:r w:rsidR="00CA12D7" w:rsidRPr="00CE6E16">
        <w:rPr>
          <w:rFonts w:cs="Times New Roman"/>
          <w:color w:val="00B050"/>
          <w:lang w:val="en-GB"/>
        </w:rPr>
        <w:t>2015; Dekhili and Achabou, 2016; Rolling and Sadacher 2018</w:t>
      </w:r>
      <w:r w:rsidR="00CA12D7" w:rsidRPr="00D44766">
        <w:rPr>
          <w:rFonts w:cs="Times New Roman"/>
          <w:lang w:val="en-GB"/>
        </w:rPr>
        <w:t>)</w:t>
      </w:r>
      <w:r w:rsidRPr="00D44766">
        <w:rPr>
          <w:rFonts w:cs="Times New Roman"/>
          <w:lang w:val="en-GB"/>
        </w:rPr>
        <w:t xml:space="preserve"> </w:t>
      </w:r>
      <w:r w:rsidR="00CA12D7" w:rsidRPr="00D44766">
        <w:rPr>
          <w:rFonts w:cs="Times New Roman"/>
          <w:lang w:val="en-GB"/>
        </w:rPr>
        <w:t>sustainability never is the driving decision criterion</w:t>
      </w:r>
      <w:r w:rsidR="00CA12D7" w:rsidRPr="00D44766">
        <w:rPr>
          <w:rFonts w:ascii="Abadi Extra Light" w:hAnsi="Abadi Extra Light"/>
          <w:lang w:val="en-GB"/>
        </w:rPr>
        <w:t xml:space="preserve">. </w:t>
      </w:r>
      <w:r w:rsidR="00DD62E4" w:rsidRPr="00D44766">
        <w:rPr>
          <w:rFonts w:cs="Times New Roman"/>
          <w:szCs w:val="24"/>
          <w:lang w:val="en-GB"/>
        </w:rPr>
        <w:t>However,</w:t>
      </w:r>
      <w:r w:rsidR="00CA2E09" w:rsidRPr="00D44766">
        <w:rPr>
          <w:rFonts w:cs="Times New Roman"/>
          <w:szCs w:val="24"/>
          <w:lang w:val="en-GB"/>
        </w:rPr>
        <w:t xml:space="preserve"> despite not actively searching CSR criteria during the purchase decision, consumers </w:t>
      </w:r>
      <w:r w:rsidR="00DD62E4" w:rsidRPr="00D44766">
        <w:rPr>
          <w:rFonts w:cs="Times New Roman"/>
          <w:szCs w:val="24"/>
          <w:lang w:val="en-GB"/>
        </w:rPr>
        <w:t>are willing to react negatively when they learn dissonant news about luxury brand like cheap labour, destroying unsold products etc. (</w:t>
      </w:r>
      <w:r w:rsidR="00DD62E4" w:rsidRPr="008E0F47">
        <w:rPr>
          <w:rFonts w:cs="Times New Roman"/>
          <w:color w:val="00B050"/>
          <w:szCs w:val="24"/>
          <w:lang w:val="en-GB"/>
        </w:rPr>
        <w:t>Kapferer and Michaut, 2015</w:t>
      </w:r>
      <w:r w:rsidR="003B6E3A" w:rsidRPr="008E0F47">
        <w:rPr>
          <w:rFonts w:cs="Times New Roman"/>
          <w:color w:val="00B050"/>
          <w:szCs w:val="24"/>
          <w:lang w:val="en-GB"/>
        </w:rPr>
        <w:t xml:space="preserve">; </w:t>
      </w:r>
      <w:r w:rsidR="003B6E3A" w:rsidRPr="008E0F47">
        <w:rPr>
          <w:color w:val="00B050"/>
          <w:lang w:val="en-GB"/>
        </w:rPr>
        <w:t>Jin, Park and Yoo, 2017</w:t>
      </w:r>
      <w:r w:rsidR="00CA12D7" w:rsidRPr="008E0F47">
        <w:rPr>
          <w:rFonts w:cs="Times New Roman"/>
          <w:color w:val="00B050"/>
          <w:szCs w:val="24"/>
          <w:lang w:val="en-GB"/>
        </w:rPr>
        <w:t>):</w:t>
      </w:r>
      <w:r w:rsidR="00CA12D7" w:rsidRPr="00D44766">
        <w:rPr>
          <w:rFonts w:cs="Times New Roman"/>
          <w:szCs w:val="24"/>
          <w:lang w:val="en-GB"/>
        </w:rPr>
        <w:t xml:space="preserve"> Paradoxically though, once luxury brand</w:t>
      </w:r>
      <w:r w:rsidR="00E83FC1">
        <w:rPr>
          <w:rFonts w:cs="Times New Roman"/>
          <w:szCs w:val="24"/>
          <w:lang w:val="en-GB"/>
        </w:rPr>
        <w:t>s</w:t>
      </w:r>
      <w:r w:rsidR="00CA12D7" w:rsidRPr="00D44766">
        <w:rPr>
          <w:rFonts w:cs="Times New Roman"/>
          <w:szCs w:val="24"/>
          <w:lang w:val="en-GB"/>
        </w:rPr>
        <w:t xml:space="preserve"> do invest into CSR activities and communicate the same, there is a real risk that the brand image will be affected negatively as the values of sustainability and luxury </w:t>
      </w:r>
      <w:r w:rsidRPr="00D44766">
        <w:rPr>
          <w:rFonts w:cs="Times New Roman"/>
          <w:szCs w:val="24"/>
          <w:lang w:val="en-GB"/>
        </w:rPr>
        <w:t xml:space="preserve">can be perceived </w:t>
      </w:r>
      <w:r w:rsidR="00CA12D7" w:rsidRPr="00D44766">
        <w:rPr>
          <w:rFonts w:cs="Times New Roman"/>
          <w:szCs w:val="24"/>
          <w:lang w:val="en-GB"/>
        </w:rPr>
        <w:t>as contradictory</w:t>
      </w:r>
      <w:r w:rsidR="00161935">
        <w:rPr>
          <w:rFonts w:cs="Times New Roman"/>
          <w:szCs w:val="24"/>
          <w:lang w:val="en-GB"/>
        </w:rPr>
        <w:t xml:space="preserve"> by some consumer segments</w:t>
      </w:r>
      <w:r w:rsidR="00CA12D7" w:rsidRPr="00D44766">
        <w:rPr>
          <w:rFonts w:cs="Times New Roman"/>
          <w:szCs w:val="24"/>
          <w:lang w:val="en-GB"/>
        </w:rPr>
        <w:t xml:space="preserve"> and sustainable activities </w:t>
      </w:r>
      <w:r w:rsidR="00CA2E09" w:rsidRPr="00D44766">
        <w:rPr>
          <w:rFonts w:cs="Times New Roman"/>
          <w:szCs w:val="24"/>
          <w:lang w:val="en-GB"/>
        </w:rPr>
        <w:t>in consequence</w:t>
      </w:r>
      <w:r w:rsidR="00161935">
        <w:rPr>
          <w:rFonts w:cs="Times New Roman"/>
          <w:szCs w:val="24"/>
          <w:lang w:val="en-GB"/>
        </w:rPr>
        <w:t xml:space="preserve"> are</w:t>
      </w:r>
      <w:r w:rsidR="00CA2E09" w:rsidRPr="00D44766">
        <w:rPr>
          <w:rFonts w:cs="Times New Roman"/>
          <w:szCs w:val="24"/>
          <w:lang w:val="en-GB"/>
        </w:rPr>
        <w:t xml:space="preserve"> </w:t>
      </w:r>
      <w:r w:rsidR="00CA12D7" w:rsidRPr="00D44766">
        <w:rPr>
          <w:rFonts w:cs="Times New Roman"/>
          <w:szCs w:val="24"/>
          <w:lang w:val="en-GB"/>
        </w:rPr>
        <w:t>regarded to reduce the luxury quality aspects of the product/service (</w:t>
      </w:r>
      <w:r w:rsidR="00CA12D7" w:rsidRPr="00D44766">
        <w:rPr>
          <w:rFonts w:cs="Times New Roman"/>
          <w:lang w:val="en-GB"/>
        </w:rPr>
        <w:t xml:space="preserve">e.g. </w:t>
      </w:r>
      <w:r w:rsidR="00CA12D7" w:rsidRPr="000D27BF">
        <w:rPr>
          <w:rFonts w:cs="Times New Roman"/>
          <w:color w:val="00B050"/>
          <w:lang w:val="en-GB"/>
        </w:rPr>
        <w:t xml:space="preserve">Achabou and Dekhili, </w:t>
      </w:r>
      <w:r w:rsidR="00CA12D7" w:rsidRPr="008E0F47">
        <w:rPr>
          <w:rFonts w:cs="Times New Roman"/>
          <w:color w:val="00B050"/>
          <w:lang w:val="en-GB"/>
        </w:rPr>
        <w:t>2013; Hepner</w:t>
      </w:r>
      <w:r w:rsidR="008E0F47" w:rsidRPr="008E0F47">
        <w:rPr>
          <w:rFonts w:cs="Times New Roman"/>
          <w:color w:val="00B050"/>
          <w:lang w:val="en-GB"/>
        </w:rPr>
        <w:t>, Chandon and Bakardzhieva</w:t>
      </w:r>
      <w:r w:rsidR="00CA12D7" w:rsidRPr="008E0F47">
        <w:rPr>
          <w:rFonts w:cs="Times New Roman"/>
          <w:color w:val="00B050"/>
          <w:lang w:val="en-GB"/>
        </w:rPr>
        <w:t>, 2020; Janssen</w:t>
      </w:r>
      <w:r w:rsidR="008E0F47" w:rsidRPr="008E0F47">
        <w:rPr>
          <w:rFonts w:cs="Times New Roman"/>
          <w:color w:val="00B050"/>
          <w:lang w:val="en-GB"/>
        </w:rPr>
        <w:t>, Vanhamme and Leblanc</w:t>
      </w:r>
      <w:r w:rsidR="00CA12D7" w:rsidRPr="008E0F47">
        <w:rPr>
          <w:rFonts w:cs="Times New Roman"/>
          <w:color w:val="00B050"/>
          <w:lang w:val="en-GB"/>
        </w:rPr>
        <w:t>, 2017</w:t>
      </w:r>
      <w:r w:rsidR="00CA12D7" w:rsidRPr="00D44766">
        <w:rPr>
          <w:rFonts w:cs="Times New Roman"/>
          <w:lang w:val="en-GB"/>
        </w:rPr>
        <w:t xml:space="preserve">; </w:t>
      </w:r>
      <w:r w:rsidR="00CA12D7" w:rsidRPr="008E0F47">
        <w:rPr>
          <w:rFonts w:cs="Times New Roman"/>
          <w:color w:val="00B050"/>
          <w:lang w:val="en-GB"/>
        </w:rPr>
        <w:t>Kapferer and Michaut-Denizeau, 2014, 20</w:t>
      </w:r>
      <w:r w:rsidR="008E0F47" w:rsidRPr="008E0F47">
        <w:rPr>
          <w:rFonts w:cs="Times New Roman"/>
          <w:color w:val="00B050"/>
          <w:lang w:val="en-GB"/>
        </w:rPr>
        <w:t>1</w:t>
      </w:r>
      <w:r w:rsidR="008E0F47" w:rsidRPr="00BE161C">
        <w:rPr>
          <w:rFonts w:cs="Times New Roman"/>
          <w:color w:val="00B050"/>
          <w:lang w:val="en-GB"/>
        </w:rPr>
        <w:t>9</w:t>
      </w:r>
      <w:r w:rsidR="00CA12D7" w:rsidRPr="00BE161C">
        <w:rPr>
          <w:rFonts w:cs="Times New Roman"/>
          <w:color w:val="00B050"/>
          <w:lang w:val="en-GB"/>
        </w:rPr>
        <w:t>; Park</w:t>
      </w:r>
      <w:r w:rsidR="00BE161C" w:rsidRPr="00BE161C">
        <w:rPr>
          <w:rFonts w:cs="Times New Roman"/>
          <w:color w:val="00B050"/>
          <w:lang w:val="en-GB"/>
        </w:rPr>
        <w:t>, Torelli, Monga and John,</w:t>
      </w:r>
      <w:r w:rsidR="00CA12D7" w:rsidRPr="00BE161C">
        <w:rPr>
          <w:rFonts w:cs="Times New Roman"/>
          <w:color w:val="00B050"/>
          <w:lang w:val="en-GB"/>
        </w:rPr>
        <w:t xml:space="preserve"> 2019; Torelli</w:t>
      </w:r>
      <w:r w:rsidR="00BE161C" w:rsidRPr="00BE161C">
        <w:rPr>
          <w:rFonts w:cs="Times New Roman"/>
          <w:color w:val="00B050"/>
          <w:lang w:val="en-GB"/>
        </w:rPr>
        <w:t xml:space="preserve">, Monga and Kaikati, </w:t>
      </w:r>
      <w:r w:rsidR="00CA12D7" w:rsidRPr="00BE161C">
        <w:rPr>
          <w:rFonts w:cs="Times New Roman"/>
          <w:color w:val="00B050"/>
          <w:lang w:val="en-GB"/>
        </w:rPr>
        <w:t>2012; Wong and Dhanesh, 201</w:t>
      </w:r>
      <w:r w:rsidR="00BE161C" w:rsidRPr="00BE161C">
        <w:rPr>
          <w:rFonts w:cs="Times New Roman"/>
          <w:color w:val="00B050"/>
          <w:lang w:val="en-GB"/>
        </w:rPr>
        <w:t>6</w:t>
      </w:r>
      <w:r w:rsidR="00CA12D7" w:rsidRPr="00BE161C">
        <w:rPr>
          <w:rFonts w:cs="Times New Roman"/>
          <w:color w:val="00B050"/>
          <w:lang w:val="en-GB"/>
        </w:rPr>
        <w:t>;</w:t>
      </w:r>
      <w:r w:rsidR="00CA12D7" w:rsidRPr="00D44766">
        <w:rPr>
          <w:rFonts w:cs="Times New Roman"/>
          <w:lang w:val="en-GB"/>
        </w:rPr>
        <w:t xml:space="preserve"> </w:t>
      </w:r>
      <w:r w:rsidR="00CA12D7" w:rsidRPr="00BE161C">
        <w:rPr>
          <w:rFonts w:cs="Times New Roman"/>
          <w:color w:val="00B050"/>
          <w:lang w:val="en-GB"/>
        </w:rPr>
        <w:t>Diallo</w:t>
      </w:r>
      <w:r w:rsidR="00BE161C" w:rsidRPr="00BE161C">
        <w:rPr>
          <w:rFonts w:cs="Times New Roman"/>
          <w:color w:val="00B050"/>
          <w:lang w:val="en-GB"/>
        </w:rPr>
        <w:t>, Ben Dahmane Mouelhi, Gadekar and Schill</w:t>
      </w:r>
      <w:r w:rsidR="00CA12D7" w:rsidRPr="00BE161C">
        <w:rPr>
          <w:rFonts w:cs="Times New Roman"/>
          <w:color w:val="00B050"/>
          <w:lang w:val="en-GB"/>
        </w:rPr>
        <w:t>,</w:t>
      </w:r>
      <w:r w:rsidR="00BE161C">
        <w:rPr>
          <w:rFonts w:cs="Times New Roman"/>
          <w:color w:val="00B050"/>
          <w:lang w:val="en-GB"/>
        </w:rPr>
        <w:t xml:space="preserve"> </w:t>
      </w:r>
      <w:r w:rsidR="00CA12D7" w:rsidRPr="00BE161C">
        <w:rPr>
          <w:rFonts w:cs="Times New Roman"/>
          <w:color w:val="00B050"/>
          <w:lang w:val="en-GB"/>
        </w:rPr>
        <w:t>2020;</w:t>
      </w:r>
      <w:r w:rsidR="00CA12D7" w:rsidRPr="00D44766">
        <w:rPr>
          <w:rFonts w:cs="Times New Roman"/>
          <w:lang w:val="en-GB"/>
        </w:rPr>
        <w:t xml:space="preserve"> </w:t>
      </w:r>
      <w:r w:rsidR="00CA12D7" w:rsidRPr="00BE161C">
        <w:rPr>
          <w:rFonts w:cs="Times New Roman"/>
          <w:color w:val="00B050"/>
          <w:lang w:val="en-GB"/>
        </w:rPr>
        <w:t>Griskevicius</w:t>
      </w:r>
      <w:r w:rsidR="00BE161C" w:rsidRPr="00BE161C">
        <w:rPr>
          <w:rFonts w:cs="Times New Roman"/>
          <w:color w:val="00B050"/>
          <w:lang w:val="en-GB"/>
        </w:rPr>
        <w:t>, Tybur and Van den Bergh</w:t>
      </w:r>
      <w:r w:rsidR="00CA12D7" w:rsidRPr="00BE161C">
        <w:rPr>
          <w:rFonts w:cs="Times New Roman"/>
          <w:color w:val="00B050"/>
          <w:lang w:val="en-GB"/>
        </w:rPr>
        <w:t>,</w:t>
      </w:r>
      <w:r w:rsidR="00BE161C" w:rsidRPr="00BE161C">
        <w:rPr>
          <w:rFonts w:cs="Times New Roman"/>
          <w:color w:val="00B050"/>
          <w:lang w:val="en-GB"/>
        </w:rPr>
        <w:t xml:space="preserve"> </w:t>
      </w:r>
      <w:r w:rsidR="00CA12D7" w:rsidRPr="00BE161C">
        <w:rPr>
          <w:rFonts w:cs="Times New Roman"/>
          <w:color w:val="00B050"/>
          <w:lang w:val="en-GB"/>
        </w:rPr>
        <w:t>2010</w:t>
      </w:r>
      <w:r w:rsidR="00CA12D7" w:rsidRPr="00D44766">
        <w:rPr>
          <w:rFonts w:ascii="Abadi Extra Light" w:hAnsi="Abadi Extra Light"/>
          <w:lang w:val="en-GB"/>
        </w:rPr>
        <w:t xml:space="preserve">). </w:t>
      </w:r>
      <w:r w:rsidR="00E77D76" w:rsidRPr="00D44766">
        <w:rPr>
          <w:rFonts w:cs="Times New Roman"/>
          <w:lang w:val="en-GB"/>
        </w:rPr>
        <w:t xml:space="preserve">A similar finding is made by </w:t>
      </w:r>
      <w:r w:rsidR="00E77D76" w:rsidRPr="00B12279">
        <w:rPr>
          <w:rFonts w:cs="Times New Roman"/>
          <w:color w:val="00B050"/>
          <w:lang w:val="en-GB"/>
        </w:rPr>
        <w:t>Amatulli, De Angelis and Stoppani (2021</w:t>
      </w:r>
      <w:r w:rsidR="00E77D76" w:rsidRPr="00D44766">
        <w:rPr>
          <w:rFonts w:cs="Times New Roman"/>
          <w:lang w:val="en-GB"/>
        </w:rPr>
        <w:t xml:space="preserve">) in reference to luxury hospitality </w:t>
      </w:r>
      <w:r w:rsidR="00BD56CC" w:rsidRPr="00D44766">
        <w:rPr>
          <w:rFonts w:cs="Times New Roman"/>
          <w:lang w:val="en-GB"/>
        </w:rPr>
        <w:t>–</w:t>
      </w:r>
      <w:r w:rsidR="00E77D76" w:rsidRPr="00D44766">
        <w:rPr>
          <w:rFonts w:cs="Times New Roman"/>
          <w:lang w:val="en-GB"/>
        </w:rPr>
        <w:t xml:space="preserve"> </w:t>
      </w:r>
      <w:r w:rsidR="00BD56CC" w:rsidRPr="00D44766">
        <w:rPr>
          <w:rFonts w:cs="Times New Roman"/>
          <w:lang w:val="en-GB"/>
        </w:rPr>
        <w:t>sustainability does pose the threat of a lower perceived value</w:t>
      </w:r>
      <w:r w:rsidR="00BD56CC" w:rsidRPr="00D44766">
        <w:rPr>
          <w:rFonts w:ascii="Abadi Extra Light" w:hAnsi="Abadi Extra Light"/>
          <w:lang w:val="en-GB"/>
        </w:rPr>
        <w:t xml:space="preserve">. </w:t>
      </w:r>
      <w:r w:rsidR="00E239E1" w:rsidRPr="00D44766">
        <w:rPr>
          <w:rFonts w:cs="Times New Roman"/>
          <w:lang w:val="en-GB"/>
        </w:rPr>
        <w:t>However,</w:t>
      </w:r>
      <w:r w:rsidR="00CA12D7" w:rsidRPr="00D44766">
        <w:rPr>
          <w:rFonts w:cs="Times New Roman"/>
          <w:lang w:val="en-GB"/>
        </w:rPr>
        <w:t xml:space="preserve"> there is also evidence that evaluation of CSR activities does depend strongly on other </w:t>
      </w:r>
      <w:r w:rsidR="00A2358C" w:rsidRPr="00D44766">
        <w:rPr>
          <w:rFonts w:cs="Times New Roman"/>
          <w:lang w:val="en-GB"/>
        </w:rPr>
        <w:t>factors,</w:t>
      </w:r>
      <w:r w:rsidR="00047A72" w:rsidRPr="00D44766">
        <w:rPr>
          <w:rFonts w:cs="Times New Roman"/>
          <w:lang w:val="en-GB"/>
        </w:rPr>
        <w:t xml:space="preserve"> </w:t>
      </w:r>
      <w:r w:rsidR="00E14B0A" w:rsidRPr="00D44766">
        <w:rPr>
          <w:rFonts w:cs="Times New Roman"/>
          <w:lang w:val="en-GB"/>
        </w:rPr>
        <w:t>e.g.,</w:t>
      </w:r>
      <w:r w:rsidR="00047A72" w:rsidRPr="00D44766">
        <w:rPr>
          <w:rFonts w:cs="Times New Roman"/>
          <w:lang w:val="en-GB"/>
        </w:rPr>
        <w:t xml:space="preserve"> </w:t>
      </w:r>
      <w:r w:rsidR="00047A72" w:rsidRPr="00B12279">
        <w:rPr>
          <w:rFonts w:cs="Times New Roman"/>
          <w:color w:val="00B050"/>
          <w:lang w:val="en-GB"/>
        </w:rPr>
        <w:t xml:space="preserve">Kapferer and Michaut-Denizeau </w:t>
      </w:r>
      <w:r w:rsidR="00B12279" w:rsidRPr="00B12279">
        <w:rPr>
          <w:rFonts w:cs="Times New Roman"/>
          <w:color w:val="00B050"/>
          <w:lang w:val="en-GB"/>
        </w:rPr>
        <w:t>(</w:t>
      </w:r>
      <w:r w:rsidR="00047A72" w:rsidRPr="00B12279">
        <w:rPr>
          <w:rFonts w:cs="Times New Roman"/>
          <w:color w:val="00B050"/>
          <w:lang w:val="en-GB"/>
        </w:rPr>
        <w:t>2019</w:t>
      </w:r>
      <w:r w:rsidR="00B12279" w:rsidRPr="00B12279">
        <w:rPr>
          <w:rFonts w:cs="Times New Roman"/>
          <w:color w:val="00B050"/>
          <w:lang w:val="en-GB"/>
        </w:rPr>
        <w:t>)</w:t>
      </w:r>
      <w:r w:rsidR="00047A72" w:rsidRPr="00D44766">
        <w:rPr>
          <w:rFonts w:cs="Times New Roman"/>
          <w:lang w:val="en-GB"/>
        </w:rPr>
        <w:t xml:space="preserve"> find that </w:t>
      </w:r>
      <w:r w:rsidRPr="00D44766">
        <w:rPr>
          <w:rFonts w:cs="Times New Roman"/>
          <w:lang w:val="en-GB"/>
        </w:rPr>
        <w:t>m</w:t>
      </w:r>
      <w:r w:rsidR="00047A72" w:rsidRPr="00D44766">
        <w:rPr>
          <w:rFonts w:cs="Times New Roman"/>
          <w:lang w:val="en-GB"/>
        </w:rPr>
        <w:t xml:space="preserve">illennials do evaluate the concepts of sustainability and luxury as highly contradictory. In their 2015 paper, </w:t>
      </w:r>
      <w:r w:rsidR="00047A72" w:rsidRPr="00B12279">
        <w:rPr>
          <w:rFonts w:cs="Times New Roman"/>
          <w:color w:val="00B050"/>
          <w:lang w:val="en-GB"/>
        </w:rPr>
        <w:t>Kapferer and Michaut (2015</w:t>
      </w:r>
      <w:r w:rsidR="00B12279" w:rsidRPr="00B12279">
        <w:rPr>
          <w:rFonts w:cs="Times New Roman"/>
          <w:color w:val="00B050"/>
          <w:lang w:val="en-GB"/>
        </w:rPr>
        <w:t>, p. 15)</w:t>
      </w:r>
      <w:r w:rsidR="00047A72" w:rsidRPr="00D44766">
        <w:rPr>
          <w:rFonts w:cs="Times New Roman"/>
          <w:lang w:val="en-GB"/>
        </w:rPr>
        <w:t xml:space="preserve"> explain ‘that the contradiction is lower for customer who define luxury as extreme quality</w:t>
      </w:r>
      <w:r w:rsidR="00E239E1" w:rsidRPr="00D44766">
        <w:rPr>
          <w:rFonts w:cs="Times New Roman"/>
          <w:lang w:val="en-GB"/>
        </w:rPr>
        <w:t>.’</w:t>
      </w:r>
      <w:r w:rsidR="00047A72" w:rsidRPr="00D44766">
        <w:rPr>
          <w:rFonts w:cs="Times New Roman"/>
          <w:lang w:val="en-GB"/>
        </w:rPr>
        <w:t xml:space="preserve"> </w:t>
      </w:r>
      <w:r w:rsidR="007C33CC" w:rsidRPr="00B12279">
        <w:rPr>
          <w:rFonts w:cs="Times New Roman"/>
          <w:color w:val="00B050"/>
          <w:lang w:val="en-GB"/>
        </w:rPr>
        <w:t>Peng and Chen (2019</w:t>
      </w:r>
      <w:r w:rsidR="00B12279" w:rsidRPr="00B12279">
        <w:rPr>
          <w:rFonts w:cs="Times New Roman"/>
          <w:color w:val="00B050"/>
          <w:lang w:val="en-GB"/>
        </w:rPr>
        <w:t>a</w:t>
      </w:r>
      <w:r w:rsidR="00E34DC5" w:rsidRPr="00B12279">
        <w:rPr>
          <w:rFonts w:cs="Times New Roman"/>
          <w:color w:val="00B050"/>
          <w:lang w:val="en-GB"/>
        </w:rPr>
        <w:t>)</w:t>
      </w:r>
      <w:r w:rsidR="00E34DC5" w:rsidRPr="00D44766">
        <w:rPr>
          <w:rFonts w:cs="Times New Roman"/>
          <w:lang w:val="en-GB"/>
        </w:rPr>
        <w:t xml:space="preserve"> identify </w:t>
      </w:r>
      <w:r w:rsidR="00E239E1" w:rsidRPr="00D44766">
        <w:rPr>
          <w:rFonts w:cs="Times New Roman"/>
          <w:lang w:val="en-GB"/>
        </w:rPr>
        <w:t>that woman</w:t>
      </w:r>
      <w:r w:rsidR="00E34DC5" w:rsidRPr="00D44766">
        <w:rPr>
          <w:rFonts w:cs="Times New Roman"/>
          <w:lang w:val="en-GB"/>
        </w:rPr>
        <w:t xml:space="preserve">, also millennials and generally consumers with a certain educational level (university and higher) do </w:t>
      </w:r>
      <w:r w:rsidR="001C587B" w:rsidRPr="00D44766">
        <w:rPr>
          <w:rFonts w:cs="Times New Roman"/>
          <w:lang w:val="en-GB"/>
        </w:rPr>
        <w:t xml:space="preserve">tend to evaluate a company’s CSR activities prior to making a purchase decision. </w:t>
      </w:r>
      <w:r w:rsidR="006470EE" w:rsidRPr="00D44766">
        <w:rPr>
          <w:rFonts w:cs="Times New Roman"/>
          <w:lang w:val="en-GB"/>
        </w:rPr>
        <w:t xml:space="preserve">And even though sustainability is not yet a decisive decision factor, </w:t>
      </w:r>
      <w:r w:rsidR="006470EE" w:rsidRPr="00B12279">
        <w:rPr>
          <w:rFonts w:cs="Times New Roman"/>
          <w:color w:val="00B050"/>
          <w:lang w:val="en-GB"/>
        </w:rPr>
        <w:t>Hennigs et al. (2013</w:t>
      </w:r>
      <w:r w:rsidR="006470EE" w:rsidRPr="00D44766">
        <w:rPr>
          <w:rFonts w:cs="Times New Roman"/>
          <w:lang w:val="en-GB"/>
        </w:rPr>
        <w:t>) hypothesis that it’s incremental for luxury brands to address these issues and com</w:t>
      </w:r>
      <w:r w:rsidR="006470EE" w:rsidRPr="00D44766">
        <w:rPr>
          <w:rFonts w:cs="Times New Roman"/>
          <w:lang w:val="en-GB"/>
        </w:rPr>
        <w:lastRenderedPageBreak/>
        <w:t>municate them in order to remain relevant and not be rejected by consumers (</w:t>
      </w:r>
      <w:r w:rsidR="006470EE" w:rsidRPr="00B12279">
        <w:rPr>
          <w:rFonts w:cs="Times New Roman"/>
          <w:color w:val="00B050"/>
          <w:lang w:val="en-GB"/>
        </w:rPr>
        <w:t>Bendell and Kleanthous, 20</w:t>
      </w:r>
      <w:r w:rsidR="00B12279" w:rsidRPr="00B12279">
        <w:rPr>
          <w:rFonts w:cs="Times New Roman"/>
          <w:color w:val="00B050"/>
          <w:lang w:val="en-GB"/>
        </w:rPr>
        <w:t>07)</w:t>
      </w:r>
      <w:r w:rsidR="006470EE" w:rsidRPr="00D44766">
        <w:rPr>
          <w:rFonts w:cs="Times New Roman"/>
          <w:lang w:val="en-GB"/>
        </w:rPr>
        <w:t xml:space="preserve"> and equally also build/maintain a favourable market position in comparison to competitors especially in markets where products can be imitated easily (</w:t>
      </w:r>
      <w:r w:rsidR="006470EE" w:rsidRPr="00B12279">
        <w:rPr>
          <w:rFonts w:cs="Times New Roman"/>
          <w:color w:val="00B050"/>
          <w:lang w:val="en-GB"/>
        </w:rPr>
        <w:t>Bendell and Kleanthous, 2007</w:t>
      </w:r>
      <w:r w:rsidR="006470EE" w:rsidRPr="00D44766">
        <w:rPr>
          <w:rFonts w:cs="Times New Roman"/>
          <w:lang w:val="en-GB"/>
        </w:rPr>
        <w:t xml:space="preserve">; </w:t>
      </w:r>
      <w:r w:rsidR="006470EE" w:rsidRPr="00C95ECF">
        <w:rPr>
          <w:rFonts w:cs="Times New Roman"/>
          <w:color w:val="00B050"/>
          <w:lang w:val="en-GB"/>
        </w:rPr>
        <w:t>Turunen and Laaksonen, 2011</w:t>
      </w:r>
      <w:r w:rsidR="006470EE" w:rsidRPr="00D44766">
        <w:rPr>
          <w:rFonts w:cs="Times New Roman"/>
          <w:lang w:val="en-GB"/>
        </w:rPr>
        <w:t>). As per</w:t>
      </w:r>
      <w:r w:rsidR="00941A9F" w:rsidRPr="00D44766">
        <w:rPr>
          <w:rFonts w:cs="Times New Roman"/>
          <w:lang w:val="en-GB"/>
        </w:rPr>
        <w:t xml:space="preserve"> the Founding </w:t>
      </w:r>
      <w:r w:rsidR="00941A9F" w:rsidRPr="00C95ECF">
        <w:rPr>
          <w:rFonts w:cs="Times New Roman"/>
          <w:lang w:val="en-GB"/>
        </w:rPr>
        <w:t>Director of the Sustainability Forum Christopher H. Cordey:</w:t>
      </w:r>
      <w:r w:rsidR="00941A9F" w:rsidRPr="00D44766">
        <w:rPr>
          <w:rFonts w:cs="Times New Roman"/>
          <w:lang w:val="en-GB"/>
        </w:rPr>
        <w:t xml:space="preserve"> ‘For luxury brands the question is no longer why to create a sustainable value chain, but rather how to transform their supply chain to address their stakeholders’ growing concerns with environmental and social issues and thus protect their reputation.’ </w:t>
      </w:r>
      <w:r w:rsidR="00941A9F" w:rsidRPr="00C95ECF">
        <w:rPr>
          <w:rFonts w:cs="Times New Roman"/>
          <w:color w:val="00B050"/>
          <w:lang w:val="en-GB"/>
        </w:rPr>
        <w:t>(in Hennigs et al., 2013</w:t>
      </w:r>
      <w:r w:rsidR="00C95ECF" w:rsidRPr="00C95ECF">
        <w:rPr>
          <w:rFonts w:cs="Times New Roman"/>
          <w:color w:val="00B050"/>
          <w:lang w:val="en-GB"/>
        </w:rPr>
        <w:t>, p. 33</w:t>
      </w:r>
      <w:r w:rsidR="00C95ECF">
        <w:rPr>
          <w:rFonts w:cs="Times New Roman"/>
          <w:lang w:val="en-GB"/>
        </w:rPr>
        <w:t>)</w:t>
      </w:r>
      <w:r w:rsidR="00941A9F" w:rsidRPr="00D44766">
        <w:rPr>
          <w:rFonts w:cs="Times New Roman"/>
          <w:lang w:val="en-GB"/>
        </w:rPr>
        <w:t xml:space="preserve">. </w:t>
      </w:r>
      <w:r w:rsidR="001C587B" w:rsidRPr="00D44766">
        <w:rPr>
          <w:rFonts w:cs="Times New Roman"/>
          <w:lang w:val="en-GB"/>
        </w:rPr>
        <w:t>With the growing awareness of ethical and sustainable productions</w:t>
      </w:r>
      <w:r w:rsidR="00161935">
        <w:rPr>
          <w:rFonts w:cs="Times New Roman"/>
          <w:lang w:val="en-GB"/>
        </w:rPr>
        <w:t xml:space="preserve">, </w:t>
      </w:r>
      <w:r w:rsidR="001C587B" w:rsidRPr="00D44766">
        <w:rPr>
          <w:rFonts w:cs="Times New Roman"/>
          <w:lang w:val="en-GB"/>
        </w:rPr>
        <w:t xml:space="preserve">CSR activities have become a marketing tool </w:t>
      </w:r>
      <w:r w:rsidRPr="00D44766">
        <w:rPr>
          <w:rFonts w:cs="Times New Roman"/>
          <w:lang w:val="en-GB"/>
        </w:rPr>
        <w:t>which is being</w:t>
      </w:r>
      <w:r w:rsidR="001C587B" w:rsidRPr="00D44766">
        <w:rPr>
          <w:rFonts w:cs="Times New Roman"/>
          <w:lang w:val="en-GB"/>
        </w:rPr>
        <w:t xml:space="preserve"> integrated into business strategies (</w:t>
      </w:r>
      <w:r w:rsidR="001C587B" w:rsidRPr="00C95ECF">
        <w:rPr>
          <w:rFonts w:cs="Times New Roman"/>
          <w:color w:val="00B050"/>
          <w:lang w:val="en-GB"/>
        </w:rPr>
        <w:t>Papadas</w:t>
      </w:r>
      <w:r w:rsidR="00C95ECF" w:rsidRPr="00C95ECF">
        <w:rPr>
          <w:rFonts w:cs="Times New Roman"/>
          <w:color w:val="00B050"/>
          <w:lang w:val="en-GB"/>
        </w:rPr>
        <w:t>, Avlonitis and Carrigan</w:t>
      </w:r>
      <w:r w:rsidR="001C587B" w:rsidRPr="00C95ECF">
        <w:rPr>
          <w:rFonts w:cs="Times New Roman"/>
          <w:color w:val="00B050"/>
          <w:lang w:val="en-GB"/>
        </w:rPr>
        <w:t>, 2017</w:t>
      </w:r>
      <w:r w:rsidR="001C587B" w:rsidRPr="00D44766">
        <w:rPr>
          <w:rFonts w:cs="Times New Roman"/>
          <w:lang w:val="en-GB"/>
        </w:rPr>
        <w:t xml:space="preserve">; </w:t>
      </w:r>
      <w:r w:rsidR="001C587B" w:rsidRPr="00C95ECF">
        <w:rPr>
          <w:rFonts w:cs="Times New Roman"/>
          <w:color w:val="00B050"/>
          <w:lang w:val="en-GB"/>
        </w:rPr>
        <w:t>Amatulli et al., 2018;</w:t>
      </w:r>
      <w:r w:rsidR="001C587B" w:rsidRPr="00D44766">
        <w:rPr>
          <w:rFonts w:cs="Times New Roman"/>
          <w:lang w:val="en-GB"/>
        </w:rPr>
        <w:t xml:space="preserve"> </w:t>
      </w:r>
      <w:r w:rsidR="001C587B" w:rsidRPr="00C95ECF">
        <w:rPr>
          <w:rFonts w:cs="Times New Roman"/>
          <w:color w:val="00B050"/>
          <w:lang w:val="en-GB"/>
        </w:rPr>
        <w:t>Cervellon and Shammas, 2013; Diallo et al., 2020; Winston, 2016</w:t>
      </w:r>
      <w:r w:rsidR="001C587B" w:rsidRPr="00D44766">
        <w:rPr>
          <w:rFonts w:cs="Times New Roman"/>
          <w:lang w:val="en-GB"/>
        </w:rPr>
        <w:t>).</w:t>
      </w:r>
      <w:r w:rsidR="002C1D7C" w:rsidRPr="00D44766">
        <w:rPr>
          <w:rFonts w:cs="Times New Roman"/>
          <w:lang w:val="en-GB"/>
        </w:rPr>
        <w:t xml:space="preserve"> However, it needs to be mentioned that </w:t>
      </w:r>
      <w:r w:rsidR="002C1D7C" w:rsidRPr="00D44766">
        <w:rPr>
          <w:lang w:val="en-GB"/>
        </w:rPr>
        <w:t>most research on the effects of CSR on consumers have been executed in a non-luxury environment and those studies which had been conducted in a luxury field have shown mixed findings (</w:t>
      </w:r>
      <w:r w:rsidR="002C1D7C" w:rsidRPr="00C95ECF">
        <w:rPr>
          <w:color w:val="00B050"/>
          <w:lang w:val="en-GB"/>
        </w:rPr>
        <w:t>Sipilä et al., 2020</w:t>
      </w:r>
      <w:r w:rsidR="002C1D7C" w:rsidRPr="00D44766">
        <w:rPr>
          <w:lang w:val="en-GB"/>
        </w:rPr>
        <w:t xml:space="preserve">). </w:t>
      </w:r>
      <w:r w:rsidR="00AD457F" w:rsidRPr="00D44766">
        <w:rPr>
          <w:rFonts w:cs="Times New Roman"/>
          <w:lang w:val="en-GB"/>
        </w:rPr>
        <w:t xml:space="preserve">As </w:t>
      </w:r>
      <w:r w:rsidR="00AD457F" w:rsidRPr="00C95ECF">
        <w:rPr>
          <w:rFonts w:cs="Times New Roman"/>
          <w:color w:val="00B050"/>
          <w:lang w:val="en-GB"/>
        </w:rPr>
        <w:t>Sipilä et al. (2020</w:t>
      </w:r>
      <w:r w:rsidR="00AD457F" w:rsidRPr="00D44766">
        <w:rPr>
          <w:rFonts w:cs="Times New Roman"/>
          <w:lang w:val="en-GB"/>
        </w:rPr>
        <w:t xml:space="preserve">) identify many luxury companies have invested into CSR – but mostly in a philanthropic form </w:t>
      </w:r>
      <w:r w:rsidRPr="00D44766">
        <w:rPr>
          <w:rFonts w:cs="Times New Roman"/>
          <w:lang w:val="en-GB"/>
        </w:rPr>
        <w:t xml:space="preserve">by </w:t>
      </w:r>
      <w:r w:rsidR="00AD457F" w:rsidRPr="00D44766">
        <w:rPr>
          <w:rFonts w:cs="Times New Roman"/>
          <w:lang w:val="en-GB"/>
        </w:rPr>
        <w:t>supporting social causes.</w:t>
      </w:r>
      <w:r w:rsidR="00085817" w:rsidRPr="00D44766">
        <w:rPr>
          <w:rFonts w:cs="Times New Roman"/>
          <w:lang w:val="en-GB"/>
        </w:rPr>
        <w:t xml:space="preserve"> In their study, </w:t>
      </w:r>
      <w:r w:rsidR="00085817" w:rsidRPr="00C95ECF">
        <w:rPr>
          <w:rFonts w:cs="Times New Roman"/>
          <w:color w:val="00B050"/>
          <w:lang w:val="en-GB"/>
        </w:rPr>
        <w:t>Sipilä et al. (2020</w:t>
      </w:r>
      <w:r w:rsidR="00085817" w:rsidRPr="00D44766">
        <w:rPr>
          <w:rFonts w:cs="Times New Roman"/>
          <w:lang w:val="en-GB"/>
        </w:rPr>
        <w:t>) examine if consumers who</w:t>
      </w:r>
      <w:r w:rsidR="0000277D" w:rsidRPr="00D44766">
        <w:rPr>
          <w:rFonts w:cs="Times New Roman"/>
          <w:lang w:val="en-GB"/>
        </w:rPr>
        <w:t xml:space="preserve"> perceive </w:t>
      </w:r>
      <w:r w:rsidR="00085817" w:rsidRPr="00D44766">
        <w:rPr>
          <w:rFonts w:cs="Times New Roman"/>
          <w:lang w:val="en-GB"/>
        </w:rPr>
        <w:t>luxury and CSR as contradictory</w:t>
      </w:r>
      <w:r w:rsidR="0000277D" w:rsidRPr="00D44766">
        <w:rPr>
          <w:rFonts w:cs="Times New Roman"/>
          <w:lang w:val="en-GB"/>
        </w:rPr>
        <w:t xml:space="preserve"> also </w:t>
      </w:r>
      <w:r w:rsidR="00085817" w:rsidRPr="00D44766">
        <w:rPr>
          <w:rFonts w:cs="Times New Roman"/>
          <w:lang w:val="en-GB"/>
        </w:rPr>
        <w:t>regard CSR activities as a mere tool to increase profits; meaning that CSR is extrinsically motivated (</w:t>
      </w:r>
      <w:r w:rsidR="00085817" w:rsidRPr="00C95ECF">
        <w:rPr>
          <w:rFonts w:cs="Times New Roman"/>
          <w:color w:val="00B050"/>
          <w:lang w:val="en-GB"/>
        </w:rPr>
        <w:t>Due</w:t>
      </w:r>
      <w:r w:rsidR="00C95ECF" w:rsidRPr="00C95ECF">
        <w:rPr>
          <w:rFonts w:cs="Times New Roman"/>
          <w:color w:val="00B050"/>
          <w:lang w:val="en-GB"/>
        </w:rPr>
        <w:t>, Bhattacharya and Sen</w:t>
      </w:r>
      <w:r w:rsidR="00085817" w:rsidRPr="00C95ECF">
        <w:rPr>
          <w:rFonts w:cs="Times New Roman"/>
          <w:color w:val="00B050"/>
          <w:lang w:val="en-GB"/>
        </w:rPr>
        <w:t>, 2010</w:t>
      </w:r>
      <w:r w:rsidR="00085817" w:rsidRPr="00D44766">
        <w:rPr>
          <w:rFonts w:cs="Times New Roman"/>
          <w:lang w:val="en-GB"/>
        </w:rPr>
        <w:t xml:space="preserve">). </w:t>
      </w:r>
      <w:r w:rsidR="00814F54" w:rsidRPr="00D44766">
        <w:rPr>
          <w:rFonts w:cs="Times New Roman"/>
          <w:lang w:val="en-GB"/>
        </w:rPr>
        <w:t>External CSR activities are rather popular as they are much easier to implement instead of having to change business processes (</w:t>
      </w:r>
      <w:r w:rsidR="00814F54" w:rsidRPr="00CF567D">
        <w:rPr>
          <w:rFonts w:cs="Times New Roman"/>
          <w:color w:val="00B050"/>
          <w:lang w:val="en-GB"/>
        </w:rPr>
        <w:t>Hameed</w:t>
      </w:r>
      <w:r w:rsidR="00CF567D" w:rsidRPr="00CF567D">
        <w:rPr>
          <w:rFonts w:cs="Times New Roman"/>
          <w:color w:val="00B050"/>
          <w:lang w:val="en-GB"/>
        </w:rPr>
        <w:t>, Riaz, Arain and Farooq</w:t>
      </w:r>
      <w:r w:rsidR="00814F54" w:rsidRPr="00CF567D">
        <w:rPr>
          <w:rFonts w:cs="Times New Roman"/>
          <w:color w:val="00B050"/>
          <w:lang w:val="en-GB"/>
        </w:rPr>
        <w:t>,</w:t>
      </w:r>
      <w:r w:rsidR="00CF567D" w:rsidRPr="00CF567D">
        <w:rPr>
          <w:rFonts w:cs="Times New Roman"/>
          <w:color w:val="00B050"/>
          <w:lang w:val="en-GB"/>
        </w:rPr>
        <w:t xml:space="preserve"> </w:t>
      </w:r>
      <w:r w:rsidR="00814F54" w:rsidRPr="00CF567D">
        <w:rPr>
          <w:rFonts w:cs="Times New Roman"/>
          <w:color w:val="00B050"/>
          <w:lang w:val="en-GB"/>
        </w:rPr>
        <w:t>2016; Peloza and Shang, 2011; Schons</w:t>
      </w:r>
      <w:r w:rsidR="00CF567D" w:rsidRPr="00CF567D">
        <w:rPr>
          <w:rFonts w:cs="Times New Roman"/>
          <w:color w:val="00B050"/>
          <w:lang w:val="en-GB"/>
        </w:rPr>
        <w:t>, Scheidler and Bartels</w:t>
      </w:r>
      <w:r w:rsidR="00814F54" w:rsidRPr="00CF567D">
        <w:rPr>
          <w:rFonts w:cs="Times New Roman"/>
          <w:color w:val="00B050"/>
          <w:lang w:val="en-GB"/>
        </w:rPr>
        <w:t>, 2017</w:t>
      </w:r>
      <w:r w:rsidR="00814F54" w:rsidRPr="00D44766">
        <w:rPr>
          <w:rFonts w:cs="Times New Roman"/>
          <w:lang w:val="en-GB"/>
        </w:rPr>
        <w:t xml:space="preserve">). </w:t>
      </w:r>
      <w:r w:rsidR="00814F54" w:rsidRPr="00C95ECF">
        <w:rPr>
          <w:rFonts w:cs="Times New Roman"/>
          <w:color w:val="00B050"/>
          <w:lang w:val="en-GB"/>
        </w:rPr>
        <w:t>Sipilä et al. (2020</w:t>
      </w:r>
      <w:r w:rsidR="00814F54" w:rsidRPr="00D44766">
        <w:rPr>
          <w:rFonts w:cs="Times New Roman"/>
          <w:lang w:val="en-GB"/>
        </w:rPr>
        <w:t xml:space="preserve">) argue that externally attributed CSR can potentially increase the perceived profit-focus of the implemented CSR activity compared to internally-focused CSR activities which are not so obvious to consumers – especially if the externally-motivated CSR activities </w:t>
      </w:r>
      <w:r w:rsidR="00E239E1" w:rsidRPr="00D44766">
        <w:rPr>
          <w:rFonts w:cs="Times New Roman"/>
          <w:lang w:val="en-GB"/>
        </w:rPr>
        <w:t>do not</w:t>
      </w:r>
      <w:r w:rsidR="00814F54" w:rsidRPr="00D44766">
        <w:rPr>
          <w:rFonts w:cs="Times New Roman"/>
          <w:lang w:val="en-GB"/>
        </w:rPr>
        <w:t xml:space="preserve"> show a link to the actual company’s operations. </w:t>
      </w:r>
      <w:r w:rsidR="00085817" w:rsidRPr="00D44766">
        <w:rPr>
          <w:rFonts w:cs="Times New Roman"/>
          <w:lang w:val="en-GB"/>
        </w:rPr>
        <w:t>The study reveals, that internally motivated CSR – meaning CSR that is focused on employees</w:t>
      </w:r>
      <w:r w:rsidR="0000277D" w:rsidRPr="00D44766">
        <w:rPr>
          <w:rFonts w:cs="Times New Roman"/>
          <w:lang w:val="en-GB"/>
        </w:rPr>
        <w:t xml:space="preserve"> - </w:t>
      </w:r>
      <w:r w:rsidR="00085817" w:rsidRPr="00D44766">
        <w:rPr>
          <w:rFonts w:cs="Times New Roman"/>
          <w:lang w:val="en-GB"/>
        </w:rPr>
        <w:t>can increase customer loyalty by about 19%</w:t>
      </w:r>
      <w:r w:rsidR="002C1D7C" w:rsidRPr="00D44766">
        <w:rPr>
          <w:rFonts w:cs="Times New Roman"/>
          <w:lang w:val="en-GB"/>
        </w:rPr>
        <w:t xml:space="preserve"> and extrinsically motivated CSR can actually have a harmful effect; which is also supported through other studies (</w:t>
      </w:r>
      <w:r w:rsidR="002C1D7C" w:rsidRPr="00CF567D">
        <w:rPr>
          <w:rFonts w:cs="Times New Roman"/>
          <w:color w:val="00B050"/>
          <w:lang w:val="en-GB"/>
        </w:rPr>
        <w:t>Becker-Olsen</w:t>
      </w:r>
      <w:r w:rsidR="00CF567D" w:rsidRPr="00CF567D">
        <w:rPr>
          <w:rFonts w:cs="Times New Roman"/>
          <w:color w:val="00B050"/>
          <w:lang w:val="en-GB"/>
        </w:rPr>
        <w:t>, Cudmore and Hill</w:t>
      </w:r>
      <w:r w:rsidR="002C1D7C" w:rsidRPr="00CF567D">
        <w:rPr>
          <w:rFonts w:cs="Times New Roman"/>
          <w:color w:val="00B050"/>
          <w:lang w:val="en-GB"/>
        </w:rPr>
        <w:t xml:space="preserve">, 2006; </w:t>
      </w:r>
      <w:r w:rsidR="00503E83">
        <w:rPr>
          <w:rFonts w:cs="Times New Roman"/>
          <w:color w:val="00B050"/>
          <w:lang w:val="en-GB"/>
        </w:rPr>
        <w:t>Du, Bha</w:t>
      </w:r>
      <w:r w:rsidR="00CF567D" w:rsidRPr="00CF567D">
        <w:rPr>
          <w:rFonts w:cs="Times New Roman"/>
          <w:color w:val="00B050"/>
          <w:lang w:val="en-GB"/>
        </w:rPr>
        <w:t>ttacharya and Sen</w:t>
      </w:r>
      <w:r w:rsidR="002C1D7C" w:rsidRPr="00CF567D">
        <w:rPr>
          <w:rFonts w:cs="Times New Roman"/>
          <w:color w:val="00B050"/>
          <w:lang w:val="en-GB"/>
        </w:rPr>
        <w:t>, 2007; Vlachos</w:t>
      </w:r>
      <w:r w:rsidR="00CF567D" w:rsidRPr="00CF567D">
        <w:rPr>
          <w:rFonts w:cs="Times New Roman"/>
          <w:color w:val="00B050"/>
          <w:lang w:val="en-GB"/>
        </w:rPr>
        <w:t>, Krepapa, Panagopoulos and Tsamakos</w:t>
      </w:r>
      <w:r w:rsidR="002C1D7C" w:rsidRPr="00CF567D">
        <w:rPr>
          <w:rFonts w:cs="Times New Roman"/>
          <w:color w:val="00B050"/>
          <w:lang w:val="en-GB"/>
        </w:rPr>
        <w:t>, 2013</w:t>
      </w:r>
      <w:r w:rsidR="002C1D7C" w:rsidRPr="00D44766">
        <w:rPr>
          <w:rFonts w:cs="Times New Roman"/>
          <w:lang w:val="en-GB"/>
        </w:rPr>
        <w:t xml:space="preserve">). In their study, </w:t>
      </w:r>
      <w:r w:rsidR="002C1D7C" w:rsidRPr="00CF567D">
        <w:rPr>
          <w:rFonts w:cs="Times New Roman"/>
          <w:color w:val="00B050"/>
          <w:lang w:val="en-GB"/>
        </w:rPr>
        <w:t>Sipilä et al. (2020</w:t>
      </w:r>
      <w:r w:rsidR="002C1D7C" w:rsidRPr="00D44766">
        <w:rPr>
          <w:rFonts w:cs="Times New Roman"/>
          <w:lang w:val="en-GB"/>
        </w:rPr>
        <w:t xml:space="preserve">) even found a decline in sales over time; and </w:t>
      </w:r>
      <w:r w:rsidR="00E239E1" w:rsidRPr="00D44766">
        <w:rPr>
          <w:rFonts w:cs="Times New Roman"/>
          <w:lang w:val="en-GB"/>
        </w:rPr>
        <w:t>thus,</w:t>
      </w:r>
      <w:r w:rsidR="002C1D7C" w:rsidRPr="00D44766">
        <w:rPr>
          <w:rFonts w:cs="Times New Roman"/>
          <w:lang w:val="en-GB"/>
        </w:rPr>
        <w:t xml:space="preserve"> making CSR activities not financially beneficial. Other research (</w:t>
      </w:r>
      <w:r w:rsidR="00503E83" w:rsidRPr="00D44766">
        <w:rPr>
          <w:rFonts w:cs="Times New Roman"/>
          <w:lang w:val="en-GB"/>
        </w:rPr>
        <w:t>e.g.,</w:t>
      </w:r>
      <w:r w:rsidR="002C1D7C" w:rsidRPr="00D44766">
        <w:rPr>
          <w:rFonts w:cs="Times New Roman"/>
          <w:lang w:val="en-GB"/>
        </w:rPr>
        <w:t xml:space="preserve"> </w:t>
      </w:r>
      <w:r w:rsidR="002C1D7C" w:rsidRPr="0093758E">
        <w:rPr>
          <w:rFonts w:cs="Times New Roman"/>
          <w:color w:val="00B050"/>
          <w:lang w:val="en-GB"/>
        </w:rPr>
        <w:t xml:space="preserve">Amatulli et al., 2018; Batat, 2019; </w:t>
      </w:r>
      <w:r w:rsidR="0093758E" w:rsidRPr="0093758E">
        <w:rPr>
          <w:rFonts w:cs="Times New Roman"/>
          <w:color w:val="00B050"/>
          <w:szCs w:val="24"/>
          <w:lang w:val="en-GB"/>
        </w:rPr>
        <w:t>Olšanová, Gook and Zlatić,</w:t>
      </w:r>
      <w:r w:rsidR="0093758E" w:rsidRPr="0093758E">
        <w:rPr>
          <w:rFonts w:cs="Times New Roman"/>
          <w:color w:val="00B050"/>
          <w:lang w:val="en-GB"/>
        </w:rPr>
        <w:t xml:space="preserve"> </w:t>
      </w:r>
      <w:r w:rsidR="002C1D7C" w:rsidRPr="0093758E">
        <w:rPr>
          <w:rFonts w:cs="Times New Roman"/>
          <w:color w:val="00B050"/>
          <w:lang w:val="en-GB"/>
        </w:rPr>
        <w:t>2018</w:t>
      </w:r>
      <w:r w:rsidR="002C1D7C" w:rsidRPr="00D44766">
        <w:rPr>
          <w:rFonts w:cs="Times New Roman"/>
          <w:lang w:val="en-GB"/>
        </w:rPr>
        <w:t>) however, indicates though that consumers are reacting positively to CSR in a luxury environment</w:t>
      </w:r>
      <w:r w:rsidR="000221EE" w:rsidRPr="00D44766">
        <w:rPr>
          <w:rFonts w:cs="Times New Roman"/>
          <w:lang w:val="en-GB"/>
        </w:rPr>
        <w:t xml:space="preserve"> – but still don’t seem to be willing to pay a premium price for it (</w:t>
      </w:r>
      <w:r w:rsidR="000221EE" w:rsidRPr="0093758E">
        <w:rPr>
          <w:rFonts w:cs="Times New Roman"/>
          <w:color w:val="00B050"/>
          <w:lang w:val="en-GB"/>
        </w:rPr>
        <w:t>Diallo et al</w:t>
      </w:r>
      <w:r w:rsidR="0093758E">
        <w:rPr>
          <w:rFonts w:cs="Times New Roman"/>
          <w:color w:val="00B050"/>
          <w:lang w:val="en-GB"/>
        </w:rPr>
        <w:t>.</w:t>
      </w:r>
      <w:r w:rsidR="000221EE" w:rsidRPr="0093758E">
        <w:rPr>
          <w:rFonts w:cs="Times New Roman"/>
          <w:color w:val="00B050"/>
          <w:lang w:val="en-GB"/>
        </w:rPr>
        <w:t>, 2020</w:t>
      </w:r>
      <w:r w:rsidR="000221EE" w:rsidRPr="00D44766">
        <w:rPr>
          <w:rFonts w:cs="Times New Roman"/>
          <w:lang w:val="en-GB"/>
        </w:rPr>
        <w:t>) and again CSR actions don’t seem to be affecting behavioural or purchase intentions (</w:t>
      </w:r>
      <w:r w:rsidR="000221EE" w:rsidRPr="0093758E">
        <w:rPr>
          <w:rFonts w:cs="Times New Roman"/>
          <w:color w:val="00B050"/>
          <w:lang w:val="en-GB"/>
        </w:rPr>
        <w:t>Diallo et al., 2020</w:t>
      </w:r>
      <w:r w:rsidR="000221EE" w:rsidRPr="00D44766">
        <w:rPr>
          <w:rFonts w:cs="Times New Roman"/>
          <w:lang w:val="en-GB"/>
        </w:rPr>
        <w:t xml:space="preserve">). </w:t>
      </w:r>
      <w:r w:rsidR="007435E0" w:rsidRPr="00D44766">
        <w:rPr>
          <w:rFonts w:cs="Times New Roman"/>
          <w:lang w:val="en-GB"/>
        </w:rPr>
        <w:t xml:space="preserve">The study of </w:t>
      </w:r>
      <w:r w:rsidR="007435E0" w:rsidRPr="0093758E">
        <w:rPr>
          <w:rFonts w:cs="Times New Roman"/>
          <w:color w:val="00B050"/>
          <w:lang w:val="en-GB"/>
        </w:rPr>
        <w:t xml:space="preserve">Amatulli </w:t>
      </w:r>
      <w:r w:rsidR="00E239E1" w:rsidRPr="0093758E">
        <w:rPr>
          <w:rFonts w:cs="Times New Roman"/>
          <w:color w:val="00B050"/>
          <w:lang w:val="en-GB"/>
        </w:rPr>
        <w:t>et al. (2018)</w:t>
      </w:r>
      <w:r w:rsidR="00E239E1" w:rsidRPr="00D44766">
        <w:rPr>
          <w:rFonts w:cs="Times New Roman"/>
          <w:lang w:val="en-GB"/>
        </w:rPr>
        <w:t xml:space="preserve"> indicate</w:t>
      </w:r>
      <w:r w:rsidR="00E83FC1">
        <w:rPr>
          <w:rFonts w:cs="Times New Roman"/>
          <w:lang w:val="en-GB"/>
        </w:rPr>
        <w:t>s</w:t>
      </w:r>
      <w:r w:rsidR="007435E0" w:rsidRPr="00D44766">
        <w:rPr>
          <w:rFonts w:cs="Times New Roman"/>
          <w:lang w:val="en-GB"/>
        </w:rPr>
        <w:t xml:space="preserve"> </w:t>
      </w:r>
      <w:r w:rsidR="007435E0" w:rsidRPr="00D44766">
        <w:rPr>
          <w:rFonts w:cs="Times New Roman"/>
          <w:lang w:val="en-GB"/>
        </w:rPr>
        <w:lastRenderedPageBreak/>
        <w:t xml:space="preserve">that consumers’ willingness to buy increases more when learning about external </w:t>
      </w:r>
      <w:r w:rsidR="000A20C3" w:rsidRPr="00D44766">
        <w:rPr>
          <w:rFonts w:cs="Times New Roman"/>
          <w:lang w:val="en-GB"/>
        </w:rPr>
        <w:t>(</w:t>
      </w:r>
      <w:r w:rsidR="007435E0" w:rsidRPr="00D44766">
        <w:rPr>
          <w:rFonts w:cs="Times New Roman"/>
          <w:lang w:val="en-GB"/>
        </w:rPr>
        <w:t>rather than internal</w:t>
      </w:r>
      <w:r w:rsidR="000A20C3" w:rsidRPr="00D44766">
        <w:rPr>
          <w:rFonts w:cs="Times New Roman"/>
          <w:lang w:val="en-GB"/>
        </w:rPr>
        <w:t>)</w:t>
      </w:r>
      <w:r w:rsidR="007435E0" w:rsidRPr="00D44766">
        <w:rPr>
          <w:rFonts w:cs="Times New Roman"/>
          <w:lang w:val="en-GB"/>
        </w:rPr>
        <w:t xml:space="preserve"> CSR</w:t>
      </w:r>
      <w:r w:rsidR="000A20C3" w:rsidRPr="00D44766">
        <w:rPr>
          <w:rFonts w:cs="Times New Roman"/>
          <w:lang w:val="en-GB"/>
        </w:rPr>
        <w:t xml:space="preserve"> related </w:t>
      </w:r>
      <w:r w:rsidR="0000277D" w:rsidRPr="00D44766">
        <w:rPr>
          <w:rFonts w:cs="Times New Roman"/>
          <w:lang w:val="en-GB"/>
        </w:rPr>
        <w:t xml:space="preserve">initiatives </w:t>
      </w:r>
      <w:r w:rsidR="000A20C3" w:rsidRPr="00D44766">
        <w:rPr>
          <w:rFonts w:cs="Times New Roman"/>
          <w:lang w:val="en-GB"/>
        </w:rPr>
        <w:t>to the dimensions of legal and philanthropic</w:t>
      </w:r>
      <w:r w:rsidR="007435E0" w:rsidRPr="00D44766">
        <w:rPr>
          <w:rFonts w:cs="Times New Roman"/>
          <w:lang w:val="en-GB"/>
        </w:rPr>
        <w:t xml:space="preserve">. As a reason they adduce that external CSR increases brand’s perceived </w:t>
      </w:r>
      <w:r w:rsidR="000A20C3" w:rsidRPr="00D44766">
        <w:rPr>
          <w:rFonts w:cs="Times New Roman"/>
          <w:lang w:val="en-GB"/>
        </w:rPr>
        <w:t>luxuriousness – this is strongly influenced by both status and a conspicuous consumption orientation from consumers (</w:t>
      </w:r>
      <w:r w:rsidR="000A20C3" w:rsidRPr="0093758E">
        <w:rPr>
          <w:rFonts w:cs="Times New Roman"/>
          <w:color w:val="00B050"/>
          <w:lang w:val="en-GB"/>
        </w:rPr>
        <w:t>Amatulli et al., 2018).</w:t>
      </w:r>
      <w:r w:rsidR="000A20C3" w:rsidRPr="00D44766">
        <w:rPr>
          <w:rFonts w:cs="Times New Roman"/>
          <w:lang w:val="en-GB"/>
        </w:rPr>
        <w:t xml:space="preserve"> </w:t>
      </w:r>
      <w:r w:rsidR="00AE03C9" w:rsidRPr="00D44766">
        <w:rPr>
          <w:rFonts w:cs="Times New Roman"/>
          <w:lang w:val="en-GB"/>
        </w:rPr>
        <w:t>Several studies (</w:t>
      </w:r>
      <w:r w:rsidR="00AE03C9" w:rsidRPr="0093758E">
        <w:rPr>
          <w:rFonts w:cs="Times New Roman"/>
          <w:color w:val="00B050"/>
          <w:lang w:val="en-GB"/>
        </w:rPr>
        <w:t>Boenigk and Schuchardt, 201</w:t>
      </w:r>
      <w:r w:rsidR="00A57C73">
        <w:rPr>
          <w:rFonts w:cs="Times New Roman"/>
          <w:color w:val="00B050"/>
          <w:lang w:val="en-GB"/>
        </w:rPr>
        <w:t>2</w:t>
      </w:r>
      <w:r w:rsidR="00AE03C9" w:rsidRPr="00D44766">
        <w:rPr>
          <w:rFonts w:cs="Times New Roman"/>
          <w:lang w:val="en-GB"/>
        </w:rPr>
        <w:t xml:space="preserve">; </w:t>
      </w:r>
      <w:r w:rsidR="00AE03C9" w:rsidRPr="0093758E">
        <w:rPr>
          <w:rFonts w:cs="Times New Roman"/>
          <w:color w:val="00B050"/>
          <w:lang w:val="en-GB"/>
        </w:rPr>
        <w:t>Hagtvedt and Patrick, 2016; Strahilevitz and Myers, 1998</w:t>
      </w:r>
      <w:r w:rsidR="00AE03C9" w:rsidRPr="00D44766">
        <w:rPr>
          <w:rFonts w:cs="Times New Roman"/>
          <w:lang w:val="en-GB"/>
        </w:rPr>
        <w:t>) even identify peripheral CSR activities more effective in a luxury environment. Luxury purchase can easily trigger pleasure simultaneously with guilt – simpl</w:t>
      </w:r>
      <w:r w:rsidR="008E701A">
        <w:rPr>
          <w:rFonts w:cs="Times New Roman"/>
          <w:lang w:val="en-GB"/>
        </w:rPr>
        <w:t>e</w:t>
      </w:r>
      <w:r w:rsidR="00AE03C9" w:rsidRPr="00D44766">
        <w:rPr>
          <w:rFonts w:cs="Times New Roman"/>
          <w:lang w:val="en-GB"/>
        </w:rPr>
        <w:t xml:space="preserve"> donation</w:t>
      </w:r>
      <w:r w:rsidR="008E701A">
        <w:rPr>
          <w:rFonts w:cs="Times New Roman"/>
          <w:lang w:val="en-GB"/>
        </w:rPr>
        <w:t>s</w:t>
      </w:r>
      <w:r w:rsidR="00AE03C9" w:rsidRPr="00D44766">
        <w:rPr>
          <w:rFonts w:cs="Times New Roman"/>
          <w:lang w:val="en-GB"/>
        </w:rPr>
        <w:t xml:space="preserve"> towards a good deed can help reduce</w:t>
      </w:r>
      <w:r w:rsidR="000D2B8A" w:rsidRPr="00D44766">
        <w:rPr>
          <w:rFonts w:cs="Times New Roman"/>
          <w:lang w:val="en-GB"/>
        </w:rPr>
        <w:t xml:space="preserve"> the feeling of guilt</w:t>
      </w:r>
      <w:r w:rsidR="0000277D" w:rsidRPr="00D44766">
        <w:rPr>
          <w:rFonts w:cs="Times New Roman"/>
          <w:lang w:val="en-GB"/>
        </w:rPr>
        <w:t xml:space="preserve">. Summarizing, the findings throughout the various studies </w:t>
      </w:r>
      <w:r w:rsidR="00E83FC1">
        <w:rPr>
          <w:rFonts w:cs="Times New Roman"/>
          <w:lang w:val="en-GB"/>
        </w:rPr>
        <w:t xml:space="preserve">are inconclusive </w:t>
      </w:r>
      <w:r w:rsidR="0000277D" w:rsidRPr="00D44766">
        <w:rPr>
          <w:rFonts w:cs="Times New Roman"/>
          <w:lang w:val="en-GB"/>
        </w:rPr>
        <w:t xml:space="preserve">and </w:t>
      </w:r>
      <w:r w:rsidR="00E83FC1">
        <w:rPr>
          <w:rFonts w:cs="Times New Roman"/>
          <w:lang w:val="en-GB"/>
        </w:rPr>
        <w:t xml:space="preserve">results are </w:t>
      </w:r>
      <w:r w:rsidR="0000277D" w:rsidRPr="00D44766">
        <w:rPr>
          <w:rFonts w:cs="Times New Roman"/>
          <w:lang w:val="en-GB"/>
        </w:rPr>
        <w:t>even contradict</w:t>
      </w:r>
      <w:r w:rsidR="00E83FC1">
        <w:rPr>
          <w:rFonts w:cs="Times New Roman"/>
          <w:lang w:val="en-GB"/>
        </w:rPr>
        <w:t xml:space="preserve">ory. </w:t>
      </w:r>
    </w:p>
    <w:p w14:paraId="4A423A24" w14:textId="3DAB1735" w:rsidR="002B591A" w:rsidRPr="00D44766" w:rsidRDefault="00941A9F" w:rsidP="002B591A">
      <w:pPr>
        <w:contextualSpacing/>
        <w:rPr>
          <w:lang w:val="en-GB"/>
        </w:rPr>
      </w:pPr>
      <w:r w:rsidRPr="00D44766">
        <w:rPr>
          <w:rFonts w:cs="Times New Roman"/>
          <w:lang w:val="en-GB"/>
        </w:rPr>
        <w:t>Looking at the hospitality and tourism field it needs to be noted that most studies on CSR and sustainability in the luxury segment have been conducted with tangible products – and not with intangible ones (</w:t>
      </w:r>
      <w:r w:rsidRPr="0093758E">
        <w:rPr>
          <w:rFonts w:cs="Times New Roman"/>
          <w:color w:val="00B050"/>
          <w:lang w:val="en-GB"/>
        </w:rPr>
        <w:t>Yang and Mattila, 2016</w:t>
      </w:r>
      <w:r w:rsidRPr="00D44766">
        <w:rPr>
          <w:rFonts w:cs="Times New Roman"/>
          <w:lang w:val="en-GB"/>
        </w:rPr>
        <w:t xml:space="preserve">). </w:t>
      </w:r>
      <w:r w:rsidR="007C33CC" w:rsidRPr="00D44766">
        <w:rPr>
          <w:rFonts w:cs="Times New Roman"/>
          <w:lang w:val="en-GB"/>
        </w:rPr>
        <w:t>The reasons why travel and tourism companies should invest into CSR have been touched upon above already and will further be discussed in the course of this thesis.</w:t>
      </w:r>
      <w:r w:rsidR="0061389F" w:rsidRPr="00D44766">
        <w:rPr>
          <w:rFonts w:cs="Times New Roman"/>
          <w:lang w:val="en-GB"/>
        </w:rPr>
        <w:t xml:space="preserve"> Despite the increasing awareness of CSR and the need for action</w:t>
      </w:r>
      <w:r w:rsidR="0000277D" w:rsidRPr="00D44766">
        <w:rPr>
          <w:rFonts w:cs="Times New Roman"/>
          <w:lang w:val="en-GB"/>
        </w:rPr>
        <w:t xml:space="preserve">, the </w:t>
      </w:r>
      <w:r w:rsidR="00CA2E09" w:rsidRPr="00D44766">
        <w:rPr>
          <w:rFonts w:cs="Times New Roman"/>
          <w:lang w:val="en-GB"/>
        </w:rPr>
        <w:t>initiatives</w:t>
      </w:r>
      <w:r w:rsidR="0061389F" w:rsidRPr="00D44766">
        <w:rPr>
          <w:rFonts w:cs="Times New Roman"/>
          <w:lang w:val="en-GB"/>
        </w:rPr>
        <w:t xml:space="preserve"> in this industry seem to be underdeveloped compared to other industries (</w:t>
      </w:r>
      <w:r w:rsidR="0061389F" w:rsidRPr="0093758E">
        <w:rPr>
          <w:rFonts w:cs="Times New Roman"/>
          <w:color w:val="00B050"/>
          <w:lang w:val="en-GB"/>
        </w:rPr>
        <w:t>Johann, 2022)</w:t>
      </w:r>
      <w:r w:rsidR="0061389F" w:rsidRPr="00D44766">
        <w:rPr>
          <w:rFonts w:cs="Times New Roman"/>
          <w:lang w:val="en-GB"/>
        </w:rPr>
        <w:t xml:space="preserve">. </w:t>
      </w:r>
      <w:r w:rsidR="00C746E2" w:rsidRPr="00D44766">
        <w:rPr>
          <w:rFonts w:cs="Times New Roman"/>
          <w:lang w:val="en-GB"/>
        </w:rPr>
        <w:t xml:space="preserve">In </w:t>
      </w:r>
      <w:r w:rsidR="00C746E2" w:rsidRPr="00854D92">
        <w:rPr>
          <w:rFonts w:cs="Times New Roman"/>
          <w:color w:val="00B050"/>
          <w:lang w:val="en-GB"/>
        </w:rPr>
        <w:t>200</w:t>
      </w:r>
      <w:r w:rsidR="00854D92" w:rsidRPr="00854D92">
        <w:rPr>
          <w:rFonts w:cs="Times New Roman"/>
          <w:color w:val="00B050"/>
          <w:lang w:val="en-GB"/>
        </w:rPr>
        <w:t>1</w:t>
      </w:r>
      <w:r w:rsidR="00C746E2" w:rsidRPr="00854D92">
        <w:rPr>
          <w:rFonts w:cs="Times New Roman"/>
          <w:color w:val="00B050"/>
          <w:lang w:val="en-GB"/>
        </w:rPr>
        <w:t>, Miller</w:t>
      </w:r>
      <w:r w:rsidR="00C746E2" w:rsidRPr="00D44766">
        <w:rPr>
          <w:rFonts w:cs="Times New Roman"/>
          <w:lang w:val="en-GB"/>
        </w:rPr>
        <w:t xml:space="preserve"> states that TOs limit their investment into CSR due to a lack of control – the reasoning</w:t>
      </w:r>
      <w:r w:rsidR="00CA2E09" w:rsidRPr="00D44766">
        <w:rPr>
          <w:rFonts w:cs="Times New Roman"/>
          <w:lang w:val="en-GB"/>
        </w:rPr>
        <w:t xml:space="preserve"> simply</w:t>
      </w:r>
      <w:r w:rsidR="00C746E2" w:rsidRPr="00D44766">
        <w:rPr>
          <w:rFonts w:cs="Times New Roman"/>
          <w:lang w:val="en-GB"/>
        </w:rPr>
        <w:t xml:space="preserve"> is that they cannot control what is happening on the ground in the specific destination</w:t>
      </w:r>
      <w:r w:rsidR="0095335A" w:rsidRPr="00D44766">
        <w:rPr>
          <w:rFonts w:cs="Times New Roman"/>
          <w:lang w:val="en-GB"/>
        </w:rPr>
        <w:t xml:space="preserve"> and due to limited funds </w:t>
      </w:r>
      <w:r w:rsidR="002B591A" w:rsidRPr="00D44766">
        <w:rPr>
          <w:rFonts w:cs="Times New Roman"/>
          <w:lang w:val="en-GB"/>
        </w:rPr>
        <w:t>and</w:t>
      </w:r>
      <w:r w:rsidR="0095335A" w:rsidRPr="00D44766">
        <w:rPr>
          <w:rFonts w:cs="Times New Roman"/>
          <w:lang w:val="en-GB"/>
        </w:rPr>
        <w:t xml:space="preserve"> resources to change that and implement a control system. </w:t>
      </w:r>
      <w:r w:rsidR="002B591A" w:rsidRPr="00D44766">
        <w:rPr>
          <w:rFonts w:cs="Times New Roman"/>
          <w:lang w:val="en-GB"/>
        </w:rPr>
        <w:t xml:space="preserve">About </w:t>
      </w:r>
      <w:r w:rsidR="00147B9C" w:rsidRPr="00D44766">
        <w:rPr>
          <w:rFonts w:cs="Times New Roman"/>
          <w:lang w:val="en-GB"/>
        </w:rPr>
        <w:t>20 years later, i</w:t>
      </w:r>
      <w:r w:rsidR="0061389F" w:rsidRPr="00D44766">
        <w:rPr>
          <w:rFonts w:cs="Times New Roman"/>
          <w:lang w:val="en-GB"/>
        </w:rPr>
        <w:t>n h</w:t>
      </w:r>
      <w:r w:rsidR="00854D92">
        <w:rPr>
          <w:rFonts w:cs="Times New Roman"/>
          <w:lang w:val="en-GB"/>
        </w:rPr>
        <w:t>er</w:t>
      </w:r>
      <w:r w:rsidR="0061389F" w:rsidRPr="00D44766">
        <w:rPr>
          <w:rFonts w:cs="Times New Roman"/>
          <w:lang w:val="en-GB"/>
        </w:rPr>
        <w:t xml:space="preserve"> paper </w:t>
      </w:r>
      <w:r w:rsidR="0061389F" w:rsidRPr="00854D92">
        <w:rPr>
          <w:rFonts w:cs="Times New Roman"/>
          <w:color w:val="00B050"/>
          <w:lang w:val="en-GB"/>
        </w:rPr>
        <w:t>Johann (2022)</w:t>
      </w:r>
      <w:r w:rsidR="0061389F" w:rsidRPr="00D44766">
        <w:rPr>
          <w:rFonts w:cs="Times New Roman"/>
          <w:lang w:val="en-GB"/>
        </w:rPr>
        <w:t xml:space="preserve"> certifies that</w:t>
      </w:r>
      <w:r w:rsidR="00E83FC1">
        <w:rPr>
          <w:rFonts w:cs="Times New Roman"/>
          <w:lang w:val="en-GB"/>
        </w:rPr>
        <w:t xml:space="preserve"> not much has changed and</w:t>
      </w:r>
      <w:r w:rsidR="0061389F" w:rsidRPr="00D44766">
        <w:rPr>
          <w:rFonts w:cs="Times New Roman"/>
          <w:lang w:val="en-GB"/>
        </w:rPr>
        <w:t xml:space="preserve"> international </w:t>
      </w:r>
      <w:r w:rsidR="002B591A" w:rsidRPr="00D44766">
        <w:rPr>
          <w:rFonts w:cs="Times New Roman"/>
          <w:lang w:val="en-GB"/>
        </w:rPr>
        <w:t>TOs</w:t>
      </w:r>
      <w:r w:rsidR="0061389F" w:rsidRPr="00D44766">
        <w:rPr>
          <w:rFonts w:cs="Times New Roman"/>
          <w:lang w:val="en-GB"/>
        </w:rPr>
        <w:t xml:space="preserve"> in general seem to focus on philanthropy</w:t>
      </w:r>
      <w:r w:rsidR="00E83FC1">
        <w:rPr>
          <w:rFonts w:cs="Times New Roman"/>
          <w:lang w:val="en-GB"/>
        </w:rPr>
        <w:t xml:space="preserve"> CSR activities (</w:t>
      </w:r>
      <w:r w:rsidR="002B591A" w:rsidRPr="00D44766">
        <w:rPr>
          <w:rFonts w:cs="Times New Roman"/>
          <w:lang w:val="en-GB"/>
        </w:rPr>
        <w:t>if at all</w:t>
      </w:r>
      <w:r w:rsidR="00E83FC1">
        <w:rPr>
          <w:rFonts w:cs="Times New Roman"/>
          <w:lang w:val="en-GB"/>
        </w:rPr>
        <w:t>)</w:t>
      </w:r>
      <w:r w:rsidR="0061389F" w:rsidRPr="00D44766">
        <w:rPr>
          <w:rFonts w:cs="Times New Roman"/>
          <w:lang w:val="en-GB"/>
        </w:rPr>
        <w:t xml:space="preserve"> instead of focusing on the supply chain management. So there seemingly is a lot of potential for </w:t>
      </w:r>
      <w:r w:rsidR="002B591A" w:rsidRPr="00D44766">
        <w:rPr>
          <w:rFonts w:cs="Times New Roman"/>
          <w:lang w:val="en-GB"/>
        </w:rPr>
        <w:t>TOs</w:t>
      </w:r>
      <w:r w:rsidR="0061389F" w:rsidRPr="00D44766">
        <w:rPr>
          <w:rFonts w:cs="Times New Roman"/>
          <w:lang w:val="en-GB"/>
        </w:rPr>
        <w:t xml:space="preserve"> to extend their activities in this segment.</w:t>
      </w:r>
      <w:r w:rsidR="007C33CC" w:rsidRPr="00D44766">
        <w:rPr>
          <w:rFonts w:cs="Times New Roman"/>
          <w:lang w:val="en-GB"/>
        </w:rPr>
        <w:t xml:space="preserve"> However, the perception of </w:t>
      </w:r>
      <w:r w:rsidR="00503E83" w:rsidRPr="00D44766">
        <w:rPr>
          <w:rFonts w:cs="Times New Roman"/>
          <w:lang w:val="en-GB"/>
        </w:rPr>
        <w:t>travellers</w:t>
      </w:r>
      <w:r w:rsidR="007C33CC" w:rsidRPr="00D44766">
        <w:rPr>
          <w:rFonts w:cs="Times New Roman"/>
          <w:lang w:val="en-GB"/>
        </w:rPr>
        <w:t xml:space="preserve"> also </w:t>
      </w:r>
      <w:r w:rsidR="00E239E1" w:rsidRPr="00D44766">
        <w:rPr>
          <w:rFonts w:cs="Times New Roman"/>
          <w:lang w:val="en-GB"/>
        </w:rPr>
        <w:t>needs</w:t>
      </w:r>
      <w:r w:rsidR="007C33CC" w:rsidRPr="00D44766">
        <w:rPr>
          <w:rFonts w:cs="Times New Roman"/>
          <w:lang w:val="en-GB"/>
        </w:rPr>
        <w:t xml:space="preserve"> to be examined further. </w:t>
      </w:r>
      <w:r w:rsidR="002B0278" w:rsidRPr="00D44766">
        <w:rPr>
          <w:rFonts w:cs="Times New Roman"/>
          <w:lang w:val="en-GB"/>
        </w:rPr>
        <w:t xml:space="preserve">From what studies show so far, </w:t>
      </w:r>
      <w:r w:rsidR="007427FB" w:rsidRPr="00D44766">
        <w:rPr>
          <w:rFonts w:cs="Times New Roman"/>
          <w:lang w:val="en-GB"/>
        </w:rPr>
        <w:t xml:space="preserve">that </w:t>
      </w:r>
      <w:r w:rsidR="00E239E1" w:rsidRPr="00D44766">
        <w:rPr>
          <w:rFonts w:cs="Times New Roman"/>
          <w:lang w:val="en-GB"/>
        </w:rPr>
        <w:t>client’s</w:t>
      </w:r>
      <w:r w:rsidR="007427FB" w:rsidRPr="00D44766">
        <w:rPr>
          <w:rFonts w:cs="Times New Roman"/>
          <w:lang w:val="en-GB"/>
        </w:rPr>
        <w:t xml:space="preserve"> awareness towards CSR and simultaneously also towards potential greenwashing activities is rising (</w:t>
      </w:r>
      <w:r w:rsidR="007427FB" w:rsidRPr="00854D92">
        <w:rPr>
          <w:rFonts w:cs="Times New Roman"/>
          <w:color w:val="00B050"/>
          <w:lang w:val="en-GB"/>
        </w:rPr>
        <w:t>Rahman, Park and Chi, 2015</w:t>
      </w:r>
      <w:r w:rsidR="007427FB" w:rsidRPr="00D44766">
        <w:rPr>
          <w:rFonts w:cs="Times New Roman"/>
          <w:lang w:val="en-GB"/>
        </w:rPr>
        <w:t>)</w:t>
      </w:r>
      <w:r w:rsidR="00B67391" w:rsidRPr="00D44766">
        <w:rPr>
          <w:rFonts w:cs="Times New Roman"/>
          <w:lang w:val="en-GB"/>
        </w:rPr>
        <w:t>. – especially the tourism industry is vulnerable for greenwashing claims simply because most products are intangible (</w:t>
      </w:r>
      <w:r w:rsidR="00B67391" w:rsidRPr="00854D92">
        <w:rPr>
          <w:rFonts w:cs="Times New Roman"/>
          <w:color w:val="00B050"/>
          <w:lang w:val="en-GB"/>
        </w:rPr>
        <w:t>Ponnapureddy et al</w:t>
      </w:r>
      <w:r w:rsidR="003B6E3A" w:rsidRPr="00854D92">
        <w:rPr>
          <w:rFonts w:cs="Times New Roman"/>
          <w:color w:val="00B050"/>
          <w:lang w:val="en-GB"/>
        </w:rPr>
        <w:t>, 2017</w:t>
      </w:r>
      <w:r w:rsidR="003B6E3A" w:rsidRPr="00D44766">
        <w:rPr>
          <w:rFonts w:cs="Times New Roman"/>
          <w:lang w:val="en-GB"/>
        </w:rPr>
        <w:t xml:space="preserve">). </w:t>
      </w:r>
      <w:r w:rsidR="005572B1" w:rsidRPr="00D44766">
        <w:rPr>
          <w:rFonts w:cs="Times New Roman"/>
          <w:lang w:val="en-GB"/>
        </w:rPr>
        <w:t xml:space="preserve">A study from </w:t>
      </w:r>
      <w:r w:rsidR="005572B1" w:rsidRPr="00854D92">
        <w:rPr>
          <w:rFonts w:cs="Times New Roman"/>
          <w:color w:val="00B050"/>
          <w:lang w:val="en-GB"/>
        </w:rPr>
        <w:t>Peng and Chen (2019</w:t>
      </w:r>
      <w:r w:rsidR="00854D92" w:rsidRPr="00854D92">
        <w:rPr>
          <w:rFonts w:cs="Times New Roman"/>
          <w:color w:val="00B050"/>
          <w:lang w:val="en-GB"/>
        </w:rPr>
        <w:t>b</w:t>
      </w:r>
      <w:r w:rsidR="005572B1" w:rsidRPr="00D44766">
        <w:rPr>
          <w:rFonts w:cs="Times New Roman"/>
          <w:lang w:val="en-GB"/>
        </w:rPr>
        <w:t>) reveal</w:t>
      </w:r>
      <w:r w:rsidR="002B591A" w:rsidRPr="00D44766">
        <w:rPr>
          <w:rFonts w:cs="Times New Roman"/>
          <w:lang w:val="en-GB"/>
        </w:rPr>
        <w:t>s</w:t>
      </w:r>
      <w:r w:rsidR="005572B1" w:rsidRPr="00D44766">
        <w:rPr>
          <w:rFonts w:cs="Times New Roman"/>
          <w:lang w:val="en-GB"/>
        </w:rPr>
        <w:t xml:space="preserve"> that consumers often perceive CSR activities as </w:t>
      </w:r>
      <w:r w:rsidR="002B591A" w:rsidRPr="00D44766">
        <w:rPr>
          <w:rFonts w:cs="Times New Roman"/>
          <w:lang w:val="en-GB"/>
        </w:rPr>
        <w:t xml:space="preserve">mere </w:t>
      </w:r>
      <w:r w:rsidR="005572B1" w:rsidRPr="00D44766">
        <w:rPr>
          <w:rFonts w:cs="Times New Roman"/>
          <w:lang w:val="en-GB"/>
        </w:rPr>
        <w:t>marketing activities; and this perception can eventually lead to a boycott of the product (</w:t>
      </w:r>
      <w:r w:rsidR="005572B1" w:rsidRPr="00854D92">
        <w:rPr>
          <w:rFonts w:cs="Times New Roman"/>
          <w:color w:val="00B050"/>
          <w:lang w:val="en-GB"/>
        </w:rPr>
        <w:t>Chen and Chang, 201</w:t>
      </w:r>
      <w:r w:rsidR="00854D92" w:rsidRPr="00854D92">
        <w:rPr>
          <w:rFonts w:cs="Times New Roman"/>
          <w:color w:val="00B050"/>
          <w:lang w:val="en-GB"/>
        </w:rPr>
        <w:t>2</w:t>
      </w:r>
      <w:r w:rsidR="005572B1" w:rsidRPr="00854D92">
        <w:rPr>
          <w:rFonts w:cs="Times New Roman"/>
          <w:color w:val="00B050"/>
          <w:lang w:val="en-GB"/>
        </w:rPr>
        <w:t>).</w:t>
      </w:r>
      <w:r w:rsidR="005572B1" w:rsidRPr="00D44766">
        <w:rPr>
          <w:rFonts w:cs="Times New Roman"/>
          <w:lang w:val="en-GB"/>
        </w:rPr>
        <w:t xml:space="preserve"> </w:t>
      </w:r>
      <w:r w:rsidR="003B6E3A" w:rsidRPr="00D44766">
        <w:rPr>
          <w:rFonts w:cs="Times New Roman"/>
          <w:lang w:val="en-GB"/>
        </w:rPr>
        <w:t>But then simultaneously</w:t>
      </w:r>
      <w:r w:rsidR="005572B1" w:rsidRPr="00D44766">
        <w:rPr>
          <w:rFonts w:cs="Times New Roman"/>
          <w:lang w:val="en-GB"/>
        </w:rPr>
        <w:t xml:space="preserve"> and despite that fact</w:t>
      </w:r>
      <w:r w:rsidR="003B6E3A" w:rsidRPr="00D44766">
        <w:rPr>
          <w:rFonts w:cs="Times New Roman"/>
          <w:lang w:val="en-GB"/>
        </w:rPr>
        <w:t>, especially the hospitality sector offers various approaches for impactful changes – from water saving to food waste reduction and general reduction of resource usage (</w:t>
      </w:r>
      <w:r w:rsidR="003B6E3A" w:rsidRPr="00A569B2">
        <w:rPr>
          <w:color w:val="70AD47" w:themeColor="accent6"/>
          <w:lang w:val="en-GB"/>
        </w:rPr>
        <w:t>Budovska</w:t>
      </w:r>
      <w:r w:rsidR="00A569B2" w:rsidRPr="00A569B2">
        <w:rPr>
          <w:color w:val="70AD47" w:themeColor="accent6"/>
          <w:lang w:val="en-GB"/>
        </w:rPr>
        <w:t xml:space="preserve">, Torres Delgado and </w:t>
      </w:r>
      <w:r w:rsidR="00A569B2" w:rsidRPr="00A569B2">
        <w:rPr>
          <w:rFonts w:cs="Times New Roman"/>
          <w:color w:val="70AD47" w:themeColor="accent6"/>
          <w:szCs w:val="24"/>
          <w:lang w:val="en-GB"/>
        </w:rPr>
        <w:t>Øgaard</w:t>
      </w:r>
      <w:r w:rsidR="003B6E3A" w:rsidRPr="00A569B2">
        <w:rPr>
          <w:color w:val="70AD47" w:themeColor="accent6"/>
          <w:lang w:val="en-GB"/>
        </w:rPr>
        <w:t>,</w:t>
      </w:r>
      <w:r w:rsidR="00A569B2" w:rsidRPr="00A569B2">
        <w:rPr>
          <w:color w:val="70AD47" w:themeColor="accent6"/>
          <w:lang w:val="en-GB"/>
        </w:rPr>
        <w:t xml:space="preserve"> </w:t>
      </w:r>
      <w:r w:rsidR="003B6E3A" w:rsidRPr="00A569B2">
        <w:rPr>
          <w:color w:val="70AD47" w:themeColor="accent6"/>
          <w:lang w:val="en-GB"/>
        </w:rPr>
        <w:t>2020; Reese</w:t>
      </w:r>
      <w:r w:rsidR="00A569B2" w:rsidRPr="00A569B2">
        <w:rPr>
          <w:color w:val="70AD47" w:themeColor="accent6"/>
          <w:lang w:val="en-GB"/>
        </w:rPr>
        <w:t>, Loew and Steffgen</w:t>
      </w:r>
      <w:r w:rsidR="003B6E3A" w:rsidRPr="00A569B2">
        <w:rPr>
          <w:color w:val="70AD47" w:themeColor="accent6"/>
          <w:lang w:val="en-GB"/>
        </w:rPr>
        <w:t>, 2014; Dolnicar</w:t>
      </w:r>
      <w:r w:rsidR="00A569B2" w:rsidRPr="00A569B2">
        <w:rPr>
          <w:color w:val="70AD47" w:themeColor="accent6"/>
          <w:lang w:val="en-GB"/>
        </w:rPr>
        <w:t>, Juvan and Grün</w:t>
      </w:r>
      <w:r w:rsidR="003B6E3A" w:rsidRPr="00A569B2">
        <w:rPr>
          <w:color w:val="70AD47" w:themeColor="accent6"/>
          <w:lang w:val="en-GB"/>
        </w:rPr>
        <w:t>, 2020;</w:t>
      </w:r>
      <w:r w:rsidR="003B6E3A" w:rsidRPr="001B690A">
        <w:rPr>
          <w:color w:val="ED7D31" w:themeColor="accent2"/>
          <w:lang w:val="en-GB"/>
        </w:rPr>
        <w:t xml:space="preserve"> </w:t>
      </w:r>
      <w:r w:rsidR="003B6E3A" w:rsidRPr="00A569B2">
        <w:rPr>
          <w:color w:val="70AD47" w:themeColor="accent6"/>
          <w:lang w:val="en-GB"/>
        </w:rPr>
        <w:t>Juvan</w:t>
      </w:r>
      <w:r w:rsidR="00A569B2" w:rsidRPr="00A569B2">
        <w:rPr>
          <w:color w:val="70AD47" w:themeColor="accent6"/>
          <w:lang w:val="en-GB"/>
        </w:rPr>
        <w:t>, Grün and Dolnicar</w:t>
      </w:r>
      <w:r w:rsidR="003B6E3A" w:rsidRPr="00A569B2">
        <w:rPr>
          <w:color w:val="70AD47" w:themeColor="accent6"/>
          <w:lang w:val="en-GB"/>
        </w:rPr>
        <w:t>, 2018; Warren</w:t>
      </w:r>
      <w:r w:rsidR="00A569B2" w:rsidRPr="00A569B2">
        <w:rPr>
          <w:color w:val="70AD47" w:themeColor="accent6"/>
          <w:lang w:val="en-GB"/>
        </w:rPr>
        <w:t>, Becken and Coghlan</w:t>
      </w:r>
      <w:r w:rsidR="003B6E3A" w:rsidRPr="00A569B2">
        <w:rPr>
          <w:color w:val="70AD47" w:themeColor="accent6"/>
          <w:lang w:val="en-GB"/>
        </w:rPr>
        <w:t>, 2017).</w:t>
      </w:r>
      <w:r w:rsidR="00557C02" w:rsidRPr="001B690A">
        <w:rPr>
          <w:color w:val="ED7D31" w:themeColor="accent2"/>
          <w:lang w:val="en-GB"/>
        </w:rPr>
        <w:t xml:space="preserve"> </w:t>
      </w:r>
      <w:r w:rsidR="00347D35" w:rsidRPr="00A569B2">
        <w:rPr>
          <w:color w:val="70AD47" w:themeColor="accent6"/>
          <w:lang w:val="en-GB"/>
        </w:rPr>
        <w:t>Line and Hanks (2016)</w:t>
      </w:r>
      <w:r w:rsidR="00347D35" w:rsidRPr="00D44766">
        <w:rPr>
          <w:lang w:val="en-GB"/>
        </w:rPr>
        <w:t xml:space="preserve"> add to the </w:t>
      </w:r>
      <w:r w:rsidR="00736BD1" w:rsidRPr="00D44766">
        <w:rPr>
          <w:lang w:val="en-GB"/>
        </w:rPr>
        <w:t>partly conflicting findings another oxymoron – hotels with green initiatives are regarded as l</w:t>
      </w:r>
      <w:r w:rsidR="002B591A" w:rsidRPr="00D44766">
        <w:rPr>
          <w:lang w:val="en-GB"/>
        </w:rPr>
        <w:t>ess l</w:t>
      </w:r>
      <w:r w:rsidR="00736BD1" w:rsidRPr="00D44766">
        <w:rPr>
          <w:lang w:val="en-GB"/>
        </w:rPr>
        <w:t xml:space="preserve">uxurious which </w:t>
      </w:r>
      <w:r w:rsidR="00736BD1" w:rsidRPr="00D44766">
        <w:rPr>
          <w:lang w:val="en-GB"/>
        </w:rPr>
        <w:lastRenderedPageBreak/>
        <w:t>in turn affects the attitude of travel</w:t>
      </w:r>
      <w:r w:rsidR="00F255AE">
        <w:rPr>
          <w:lang w:val="en-GB"/>
        </w:rPr>
        <w:t>l</w:t>
      </w:r>
      <w:r w:rsidR="00736BD1" w:rsidRPr="00D44766">
        <w:rPr>
          <w:lang w:val="en-GB"/>
        </w:rPr>
        <w:t xml:space="preserve">ers negatively; But this change </w:t>
      </w:r>
      <w:r w:rsidR="00EF26A1" w:rsidRPr="00D44766">
        <w:rPr>
          <w:lang w:val="en-GB"/>
        </w:rPr>
        <w:t xml:space="preserve">in perception </w:t>
      </w:r>
      <w:r w:rsidR="00736BD1" w:rsidRPr="00D44766">
        <w:rPr>
          <w:lang w:val="en-GB"/>
        </w:rPr>
        <w:t xml:space="preserve">only happens in urban destination and holds not true </w:t>
      </w:r>
      <w:r w:rsidR="00EF26A1" w:rsidRPr="00D44766">
        <w:rPr>
          <w:lang w:val="en-GB"/>
        </w:rPr>
        <w:t>for</w:t>
      </w:r>
      <w:r w:rsidR="00736BD1" w:rsidRPr="00D44766">
        <w:rPr>
          <w:lang w:val="en-GB"/>
        </w:rPr>
        <w:t xml:space="preserve"> destination with a focus on nature </w:t>
      </w:r>
      <w:r w:rsidR="005572B1" w:rsidRPr="00D44766">
        <w:rPr>
          <w:rFonts w:cs="Times New Roman"/>
          <w:lang w:val="en-GB"/>
        </w:rPr>
        <w:t xml:space="preserve">However, according to </w:t>
      </w:r>
      <w:r w:rsidR="005572B1" w:rsidRPr="001B690A">
        <w:rPr>
          <w:color w:val="70AD47" w:themeColor="accent6"/>
          <w:lang w:val="en-GB"/>
        </w:rPr>
        <w:t>Ganglmair-Wooliscroft and Wooliscroft (201</w:t>
      </w:r>
      <w:r w:rsidR="001B690A" w:rsidRPr="001B690A">
        <w:rPr>
          <w:color w:val="70AD47" w:themeColor="accent6"/>
          <w:lang w:val="en-GB"/>
        </w:rPr>
        <w:t>6</w:t>
      </w:r>
      <w:r w:rsidR="005572B1" w:rsidRPr="001B690A">
        <w:rPr>
          <w:color w:val="70AD47" w:themeColor="accent6"/>
          <w:lang w:val="en-GB"/>
        </w:rPr>
        <w:t>)</w:t>
      </w:r>
      <w:r w:rsidR="005572B1" w:rsidRPr="00D44766">
        <w:rPr>
          <w:lang w:val="en-GB"/>
        </w:rPr>
        <w:t>, even though the overall attitude within society towards CSR and sustainable option</w:t>
      </w:r>
      <w:r w:rsidR="002B591A" w:rsidRPr="00D44766">
        <w:rPr>
          <w:lang w:val="en-GB"/>
        </w:rPr>
        <w:t>s</w:t>
      </w:r>
      <w:r w:rsidR="005572B1" w:rsidRPr="00D44766">
        <w:rPr>
          <w:lang w:val="en-GB"/>
        </w:rPr>
        <w:t xml:space="preserve"> seems to be changing, this trend cannot be transfer to the selection of holidays – the selection of responding tourism services remains minimal.</w:t>
      </w:r>
      <w:r w:rsidR="002B591A" w:rsidRPr="00D44766">
        <w:rPr>
          <w:lang w:val="en-GB"/>
        </w:rPr>
        <w:t xml:space="preserve"> </w:t>
      </w:r>
    </w:p>
    <w:p w14:paraId="60AA1F2F" w14:textId="4D7F293A" w:rsidR="009A43A8" w:rsidRDefault="00503E83" w:rsidP="002B591A">
      <w:pPr>
        <w:contextualSpacing/>
        <w:rPr>
          <w:rFonts w:cs="Times New Roman"/>
          <w:szCs w:val="24"/>
          <w:lang w:val="en-GB"/>
        </w:rPr>
      </w:pPr>
      <w:r w:rsidRPr="00D44766">
        <w:rPr>
          <w:rFonts w:cs="Times New Roman"/>
          <w:szCs w:val="24"/>
          <w:lang w:val="en-GB"/>
        </w:rPr>
        <w:t>So,</w:t>
      </w:r>
      <w:r w:rsidR="003B6E3A" w:rsidRPr="00D44766">
        <w:rPr>
          <w:rFonts w:cs="Times New Roman"/>
          <w:szCs w:val="24"/>
          <w:lang w:val="en-GB"/>
        </w:rPr>
        <w:t xml:space="preserve"> despite the challenges and incongruent </w:t>
      </w:r>
      <w:r w:rsidR="00B841B7" w:rsidRPr="00D44766">
        <w:rPr>
          <w:rFonts w:cs="Times New Roman"/>
          <w:szCs w:val="24"/>
          <w:lang w:val="en-GB"/>
        </w:rPr>
        <w:t xml:space="preserve">studies on consumers’ response to CSR activities, luxury hotels / luxury travel and tourism industry has a myriad of reasons to invest into CSR activities, </w:t>
      </w:r>
      <w:r w:rsidR="00347D35" w:rsidRPr="00D44766">
        <w:rPr>
          <w:rFonts w:cs="Times New Roman"/>
          <w:szCs w:val="24"/>
          <w:lang w:val="en-GB"/>
        </w:rPr>
        <w:t>and there is a strong argument that luxury brands should take on the responsibility of promoting responsible consumption (</w:t>
      </w:r>
      <w:r w:rsidR="00347D35" w:rsidRPr="000507B8">
        <w:rPr>
          <w:rFonts w:cs="Times New Roman"/>
          <w:color w:val="00B050"/>
          <w:szCs w:val="24"/>
          <w:lang w:val="en-GB"/>
        </w:rPr>
        <w:t xml:space="preserve">Bendell </w:t>
      </w:r>
      <w:r w:rsidR="000507B8" w:rsidRPr="000507B8">
        <w:rPr>
          <w:rFonts w:cs="Times New Roman"/>
          <w:color w:val="00B050"/>
          <w:szCs w:val="24"/>
          <w:lang w:val="en-GB"/>
        </w:rPr>
        <w:t>and</w:t>
      </w:r>
      <w:r w:rsidR="00347D35" w:rsidRPr="000507B8">
        <w:rPr>
          <w:rFonts w:cs="Times New Roman"/>
          <w:color w:val="00B050"/>
          <w:szCs w:val="24"/>
          <w:lang w:val="en-GB"/>
        </w:rPr>
        <w:t xml:space="preserve"> Kleanthous, 2007; </w:t>
      </w:r>
      <w:r w:rsidR="000507B8" w:rsidRPr="000507B8">
        <w:rPr>
          <w:rFonts w:cs="Times New Roman"/>
          <w:color w:val="00B050"/>
          <w:szCs w:val="24"/>
          <w:lang w:val="en-GB"/>
        </w:rPr>
        <w:t>Davies, Lee and Ahonkhai</w:t>
      </w:r>
      <w:r w:rsidR="00347D35" w:rsidRPr="000507B8">
        <w:rPr>
          <w:rFonts w:cs="Times New Roman"/>
          <w:color w:val="00B050"/>
          <w:szCs w:val="24"/>
          <w:lang w:val="en-GB"/>
        </w:rPr>
        <w:t>, 2012)</w:t>
      </w:r>
      <w:r w:rsidR="00347D35" w:rsidRPr="00D44766">
        <w:rPr>
          <w:rFonts w:cs="Times New Roman"/>
          <w:szCs w:val="24"/>
          <w:lang w:val="en-GB"/>
        </w:rPr>
        <w:t xml:space="preserve"> – not only in travel and tourism.</w:t>
      </w:r>
      <w:r w:rsidR="00B841B7" w:rsidRPr="00D44766">
        <w:rPr>
          <w:rFonts w:cs="Times New Roman"/>
          <w:szCs w:val="24"/>
          <w:lang w:val="en-GB"/>
        </w:rPr>
        <w:t xml:space="preserve"> </w:t>
      </w:r>
    </w:p>
    <w:p w14:paraId="7B1F0AA8" w14:textId="1D1799AF" w:rsidR="002150D1" w:rsidRPr="00D44766" w:rsidRDefault="00AE26EB" w:rsidP="002E26E0">
      <w:pPr>
        <w:pStyle w:val="berschrift1"/>
        <w:contextualSpacing/>
        <w:rPr>
          <w:lang w:val="en-GB"/>
        </w:rPr>
      </w:pPr>
      <w:bookmarkStart w:id="51" w:name="_Toc143330990"/>
      <w:bookmarkStart w:id="52" w:name="_Toc143361657"/>
      <w:r>
        <w:rPr>
          <w:lang w:val="en-GB"/>
        </w:rPr>
        <w:t>4</w:t>
      </w:r>
      <w:r w:rsidR="002150D1" w:rsidRPr="00D44766">
        <w:rPr>
          <w:lang w:val="en-GB"/>
        </w:rPr>
        <w:t>. Due Diligence Act</w:t>
      </w:r>
      <w:bookmarkEnd w:id="51"/>
      <w:bookmarkEnd w:id="52"/>
    </w:p>
    <w:p w14:paraId="222F73B1" w14:textId="68627A4D" w:rsidR="002150D1" w:rsidRPr="00D44766" w:rsidRDefault="002150D1" w:rsidP="002E26E0">
      <w:pPr>
        <w:contextualSpacing/>
        <w:rPr>
          <w:lang w:val="en-GB"/>
        </w:rPr>
      </w:pPr>
      <w:r w:rsidRPr="00D44766">
        <w:rPr>
          <w:lang w:val="en-GB"/>
        </w:rPr>
        <w:t>This chapter will take a closer look at the Due Dilig</w:t>
      </w:r>
      <w:r w:rsidR="00742BE1" w:rsidRPr="00D44766">
        <w:rPr>
          <w:lang w:val="en-GB"/>
        </w:rPr>
        <w:t>e</w:t>
      </w:r>
      <w:r w:rsidRPr="00D44766">
        <w:rPr>
          <w:lang w:val="en-GB"/>
        </w:rPr>
        <w:t>nce Act that was passed by the German government based on EU</w:t>
      </w:r>
      <w:r w:rsidR="00C647B6">
        <w:rPr>
          <w:lang w:val="en-GB"/>
        </w:rPr>
        <w:t xml:space="preserve"> Provisions</w:t>
      </w:r>
      <w:r w:rsidRPr="00D44766">
        <w:rPr>
          <w:lang w:val="en-GB"/>
        </w:rPr>
        <w:t xml:space="preserve">. After a brief description of the reasoning behind and the actual </w:t>
      </w:r>
      <w:r w:rsidR="009635CC">
        <w:rPr>
          <w:lang w:val="en-GB"/>
        </w:rPr>
        <w:t>A</w:t>
      </w:r>
      <w:r w:rsidRPr="00D44766">
        <w:rPr>
          <w:lang w:val="en-GB"/>
        </w:rPr>
        <w:t xml:space="preserve">ct itself, this chapter looks into the implication the Act has on the German </w:t>
      </w:r>
      <w:r w:rsidR="00151DE7">
        <w:rPr>
          <w:lang w:val="en-GB"/>
        </w:rPr>
        <w:t>TO industry</w:t>
      </w:r>
      <w:r w:rsidRPr="00D44766">
        <w:rPr>
          <w:lang w:val="en-GB"/>
        </w:rPr>
        <w:t xml:space="preserve"> and evaluating </w:t>
      </w:r>
      <w:r w:rsidR="00A2358C" w:rsidRPr="00D44766">
        <w:rPr>
          <w:lang w:val="en-GB"/>
        </w:rPr>
        <w:t>its</w:t>
      </w:r>
      <w:r w:rsidRPr="00D44766">
        <w:rPr>
          <w:lang w:val="en-GB"/>
        </w:rPr>
        <w:t xml:space="preserve"> potential to influence changes within the industry</w:t>
      </w:r>
      <w:r w:rsidR="00742BE1" w:rsidRPr="00D44766">
        <w:rPr>
          <w:lang w:val="en-GB"/>
        </w:rPr>
        <w:t xml:space="preserve"> and exploit the relationship between the Act, CSR and corporate </w:t>
      </w:r>
      <w:r w:rsidR="00E239E1" w:rsidRPr="00D44766">
        <w:rPr>
          <w:lang w:val="en-GB"/>
        </w:rPr>
        <w:t>responsibility.</w:t>
      </w:r>
    </w:p>
    <w:p w14:paraId="1EB42C73" w14:textId="047B5178" w:rsidR="00742BE1" w:rsidRPr="00D44766" w:rsidRDefault="00AE26EB" w:rsidP="00AE26EB">
      <w:pPr>
        <w:pStyle w:val="berschrift2"/>
        <w:ind w:left="284" w:firstLine="0"/>
        <w:contextualSpacing/>
        <w:rPr>
          <w:lang w:val="en-GB"/>
        </w:rPr>
      </w:pPr>
      <w:bookmarkStart w:id="53" w:name="_Toc143330991"/>
      <w:bookmarkStart w:id="54" w:name="_Toc143361658"/>
      <w:r>
        <w:rPr>
          <w:lang w:val="en-GB"/>
        </w:rPr>
        <w:t>4.1.</w:t>
      </w:r>
      <w:r w:rsidR="002D07AA">
        <w:rPr>
          <w:lang w:val="en-GB"/>
        </w:rPr>
        <w:t xml:space="preserve"> </w:t>
      </w:r>
      <w:r w:rsidR="00742BE1" w:rsidRPr="00D44766">
        <w:rPr>
          <w:lang w:val="en-GB"/>
        </w:rPr>
        <w:t>Due Diligence Act</w:t>
      </w:r>
      <w:r w:rsidR="00D614A5" w:rsidRPr="00D44766">
        <w:rPr>
          <w:lang w:val="en-GB"/>
        </w:rPr>
        <w:t xml:space="preserve"> in Germany</w:t>
      </w:r>
      <w:r w:rsidR="00742BE1" w:rsidRPr="00D44766">
        <w:rPr>
          <w:lang w:val="en-GB"/>
        </w:rPr>
        <w:t xml:space="preserve"> – what it is and what it entails</w:t>
      </w:r>
      <w:bookmarkEnd w:id="53"/>
      <w:bookmarkEnd w:id="54"/>
    </w:p>
    <w:p w14:paraId="4690BB7E" w14:textId="7FF66498" w:rsidR="009B2647" w:rsidRPr="00D44766" w:rsidRDefault="008334CB" w:rsidP="002E26E0">
      <w:pPr>
        <w:contextualSpacing/>
        <w:rPr>
          <w:lang w:val="en-GB"/>
        </w:rPr>
      </w:pPr>
      <w:r w:rsidRPr="00D44766">
        <w:rPr>
          <w:lang w:val="en-GB"/>
        </w:rPr>
        <w:t xml:space="preserve">The Corporate Due Diligence Act </w:t>
      </w:r>
      <w:r w:rsidR="007D15FB">
        <w:rPr>
          <w:lang w:val="en-GB"/>
        </w:rPr>
        <w:t>(in the following the Act</w:t>
      </w:r>
      <w:r w:rsidRPr="00D44766">
        <w:rPr>
          <w:lang w:val="en-GB"/>
        </w:rPr>
        <w:t>) is said to have its roots in the collapse of Rana Plaza in April 2013 (</w:t>
      </w:r>
      <w:r w:rsidRPr="004C6F03">
        <w:rPr>
          <w:color w:val="70AD47" w:themeColor="accent6"/>
          <w:lang w:val="en-GB"/>
        </w:rPr>
        <w:t>Weihrauch</w:t>
      </w:r>
      <w:r w:rsidR="004C6F03" w:rsidRPr="004C6F03">
        <w:rPr>
          <w:color w:val="70AD47" w:themeColor="accent6"/>
          <w:lang w:val="en-GB"/>
        </w:rPr>
        <w:t>, Carodenuto and Leipold</w:t>
      </w:r>
      <w:r w:rsidRPr="004C6F03">
        <w:rPr>
          <w:color w:val="70AD47" w:themeColor="accent6"/>
          <w:lang w:val="en-GB"/>
        </w:rPr>
        <w:t>, 2022</w:t>
      </w:r>
      <w:r w:rsidRPr="00D44766">
        <w:rPr>
          <w:lang w:val="en-GB"/>
        </w:rPr>
        <w:t>). Rana Plaza was a clothing factor</w:t>
      </w:r>
      <w:r w:rsidR="00E83FC1">
        <w:rPr>
          <w:lang w:val="en-GB"/>
        </w:rPr>
        <w:t>y</w:t>
      </w:r>
      <w:r w:rsidRPr="00D44766">
        <w:rPr>
          <w:lang w:val="en-GB"/>
        </w:rPr>
        <w:t xml:space="preserve">, mainly producing for international brands, </w:t>
      </w:r>
      <w:r w:rsidR="00E239E1" w:rsidRPr="00D44766">
        <w:rPr>
          <w:lang w:val="en-GB"/>
        </w:rPr>
        <w:t>which</w:t>
      </w:r>
      <w:r w:rsidRPr="00D44766">
        <w:rPr>
          <w:lang w:val="en-GB"/>
        </w:rPr>
        <w:t xml:space="preserve"> collapsed killing over 1100 Bangladeshi workers. The global media echo that followed, condemning the working conditions raised a major debate about the responsibilities of supply chains of international</w:t>
      </w:r>
      <w:r w:rsidR="007D15FB">
        <w:rPr>
          <w:lang w:val="en-GB"/>
        </w:rPr>
        <w:t>ly</w:t>
      </w:r>
      <w:r w:rsidRPr="00D44766">
        <w:rPr>
          <w:lang w:val="en-GB"/>
        </w:rPr>
        <w:t xml:space="preserve"> operating companies. In order not to risk any</w:t>
      </w:r>
      <w:r w:rsidR="007D15FB">
        <w:rPr>
          <w:lang w:val="en-GB"/>
        </w:rPr>
        <w:t xml:space="preserve"> additional and further</w:t>
      </w:r>
      <w:r w:rsidRPr="00D44766">
        <w:rPr>
          <w:lang w:val="en-GB"/>
        </w:rPr>
        <w:t xml:space="preserve"> image damage a number of companies have thus started to implement and execute </w:t>
      </w:r>
      <w:r w:rsidR="00FA68AE" w:rsidRPr="00D44766">
        <w:rPr>
          <w:lang w:val="en-GB"/>
        </w:rPr>
        <w:t>voluntary initiatives to</w:t>
      </w:r>
      <w:r w:rsidR="003A3A44" w:rsidRPr="00D44766">
        <w:rPr>
          <w:lang w:val="en-GB"/>
        </w:rPr>
        <w:t xml:space="preserve"> improve the situation</w:t>
      </w:r>
      <w:r w:rsidR="00FA68AE" w:rsidRPr="00D44766">
        <w:rPr>
          <w:lang w:val="en-GB"/>
        </w:rPr>
        <w:t xml:space="preserve"> (</w:t>
      </w:r>
      <w:r w:rsidR="00FA68AE" w:rsidRPr="004C6F03">
        <w:rPr>
          <w:color w:val="70AD47" w:themeColor="accent6"/>
          <w:lang w:val="en-GB"/>
        </w:rPr>
        <w:t>Bartley and Child, 2014</w:t>
      </w:r>
      <w:r w:rsidR="00FA68AE" w:rsidRPr="00D44766">
        <w:rPr>
          <w:lang w:val="en-GB"/>
        </w:rPr>
        <w:t xml:space="preserve">). However, these initiatives and actions have been criticized for a number of </w:t>
      </w:r>
      <w:r w:rsidR="00AA538D" w:rsidRPr="00D44766">
        <w:rPr>
          <w:lang w:val="en-GB"/>
        </w:rPr>
        <w:t>shortcomings</w:t>
      </w:r>
      <w:r w:rsidR="00FA68AE" w:rsidRPr="00D44766">
        <w:rPr>
          <w:lang w:val="en-GB"/>
        </w:rPr>
        <w:t xml:space="preserve"> as for example an ineffective implementation, limited auditing by independent parties etc. (</w:t>
      </w:r>
      <w:r w:rsidR="00FA68AE" w:rsidRPr="004C6F03">
        <w:rPr>
          <w:color w:val="70AD47" w:themeColor="accent6"/>
          <w:lang w:val="en-GB"/>
        </w:rPr>
        <w:t>Bartley, 2014, 2018</w:t>
      </w:r>
      <w:r w:rsidR="00FA68AE" w:rsidRPr="00D44766">
        <w:rPr>
          <w:lang w:val="en-GB"/>
        </w:rPr>
        <w:t xml:space="preserve">; </w:t>
      </w:r>
      <w:r w:rsidR="00FA68AE" w:rsidRPr="004C6F03">
        <w:rPr>
          <w:color w:val="70AD47" w:themeColor="accent6"/>
          <w:lang w:val="en-GB"/>
        </w:rPr>
        <w:t>Carodenuto and Bulura</w:t>
      </w:r>
      <w:r w:rsidR="00E51477">
        <w:rPr>
          <w:color w:val="70AD47" w:themeColor="accent6"/>
          <w:lang w:val="en-GB"/>
        </w:rPr>
        <w:t>n</w:t>
      </w:r>
      <w:r w:rsidR="00FA68AE" w:rsidRPr="004C6F03">
        <w:rPr>
          <w:color w:val="70AD47" w:themeColor="accent6"/>
          <w:lang w:val="en-GB"/>
        </w:rPr>
        <w:t>, 2021</w:t>
      </w:r>
      <w:r w:rsidR="00FA68AE" w:rsidRPr="00D44766">
        <w:rPr>
          <w:lang w:val="en-GB"/>
        </w:rPr>
        <w:t xml:space="preserve">, </w:t>
      </w:r>
      <w:r w:rsidR="00FA68AE" w:rsidRPr="004C6F03">
        <w:rPr>
          <w:color w:val="70AD47" w:themeColor="accent6"/>
          <w:lang w:val="en-GB"/>
        </w:rPr>
        <w:t>Moog</w:t>
      </w:r>
      <w:r w:rsidR="004C6F03" w:rsidRPr="004C6F03">
        <w:rPr>
          <w:color w:val="70AD47" w:themeColor="accent6"/>
          <w:lang w:val="en-GB"/>
        </w:rPr>
        <w:t>, Spicer and Böhm,</w:t>
      </w:r>
      <w:r w:rsidR="00FA68AE" w:rsidRPr="004C6F03">
        <w:rPr>
          <w:color w:val="70AD47" w:themeColor="accent6"/>
          <w:lang w:val="en-GB"/>
        </w:rPr>
        <w:t xml:space="preserve"> 2015</w:t>
      </w:r>
      <w:r w:rsidR="00FA68AE" w:rsidRPr="00D44766">
        <w:rPr>
          <w:lang w:val="en-GB"/>
        </w:rPr>
        <w:t xml:space="preserve">). To counteract </w:t>
      </w:r>
      <w:r w:rsidR="00E239E1" w:rsidRPr="00D44766">
        <w:rPr>
          <w:lang w:val="en-GB"/>
        </w:rPr>
        <w:t>these shortcomings</w:t>
      </w:r>
      <w:r w:rsidR="00FA68AE" w:rsidRPr="00D44766">
        <w:rPr>
          <w:lang w:val="en-GB"/>
        </w:rPr>
        <w:t xml:space="preserve"> several states started to pass mandatory acts on due diligence. In Germany, the Supply Chain Due Diligence law was passed by parliament in summer 2021</w:t>
      </w:r>
      <w:r w:rsidR="00D614A5" w:rsidRPr="00D44766">
        <w:rPr>
          <w:lang w:val="en-GB"/>
        </w:rPr>
        <w:t>. As of January 2023, the Act is enacted and requires companies with more than 3000 employees ‘to conduct due diligence for risks in their supply chains and report annually’ (</w:t>
      </w:r>
      <w:r w:rsidR="004C6F03" w:rsidRPr="004C6F03">
        <w:rPr>
          <w:color w:val="70AD47" w:themeColor="accent6"/>
          <w:lang w:val="en-GB"/>
        </w:rPr>
        <w:t>Weihrauch, Carodenuto and Leipold, 2022</w:t>
      </w:r>
      <w:r w:rsidR="00D614A5" w:rsidRPr="00D44766">
        <w:rPr>
          <w:lang w:val="en-GB"/>
        </w:rPr>
        <w:t xml:space="preserve">, p. 12). As of </w:t>
      </w:r>
      <w:r w:rsidR="00D614A5" w:rsidRPr="00D44766">
        <w:rPr>
          <w:lang w:val="en-GB"/>
        </w:rPr>
        <w:lastRenderedPageBreak/>
        <w:t xml:space="preserve">2024, the </w:t>
      </w:r>
      <w:r w:rsidR="007D15FB">
        <w:rPr>
          <w:lang w:val="en-GB"/>
        </w:rPr>
        <w:t xml:space="preserve">threshold </w:t>
      </w:r>
      <w:r w:rsidR="00D614A5" w:rsidRPr="00D44766">
        <w:rPr>
          <w:lang w:val="en-GB"/>
        </w:rPr>
        <w:t xml:space="preserve">of employees is </w:t>
      </w:r>
      <w:r w:rsidR="007D15FB">
        <w:rPr>
          <w:lang w:val="en-GB"/>
        </w:rPr>
        <w:t xml:space="preserve">lowered </w:t>
      </w:r>
      <w:r w:rsidR="00D614A5" w:rsidRPr="00D44766">
        <w:rPr>
          <w:lang w:val="en-GB"/>
        </w:rPr>
        <w:t xml:space="preserve">and companies with as much as 1000 employees </w:t>
      </w:r>
      <w:r w:rsidR="007D15FB">
        <w:rPr>
          <w:lang w:val="en-GB"/>
        </w:rPr>
        <w:t xml:space="preserve">are required </w:t>
      </w:r>
      <w:r w:rsidR="00D614A5" w:rsidRPr="00D44766">
        <w:rPr>
          <w:lang w:val="en-GB"/>
        </w:rPr>
        <w:t>to obey the law.</w:t>
      </w:r>
      <w:r w:rsidR="009B2647" w:rsidRPr="00D44766">
        <w:rPr>
          <w:lang w:val="en-GB"/>
        </w:rPr>
        <w:t xml:space="preserve"> The law only applies to companies being based in Germany, whereby it already is enough to have a subsidiary based within Germany (</w:t>
      </w:r>
      <w:r w:rsidR="009B2647" w:rsidRPr="002324AF">
        <w:rPr>
          <w:color w:val="70AD47" w:themeColor="accent6"/>
          <w:lang w:val="en-GB"/>
        </w:rPr>
        <w:t>ECPAT International, 2022</w:t>
      </w:r>
      <w:r w:rsidR="009B2647" w:rsidRPr="00D44766">
        <w:rPr>
          <w:lang w:val="en-GB"/>
        </w:rPr>
        <w:t>). The obligations companies are now facing are</w:t>
      </w:r>
      <w:r w:rsidR="0088329C" w:rsidRPr="00D44766">
        <w:rPr>
          <w:lang w:val="en-GB"/>
        </w:rPr>
        <w:t xml:space="preserve"> (</w:t>
      </w:r>
      <w:r w:rsidR="0088329C" w:rsidRPr="002324AF">
        <w:rPr>
          <w:color w:val="70AD47" w:themeColor="accent6"/>
          <w:lang w:val="en-GB"/>
        </w:rPr>
        <w:t>ECPAT International, 2022):</w:t>
      </w:r>
    </w:p>
    <w:p w14:paraId="717E21F2" w14:textId="2A4AFF57" w:rsidR="009B2647" w:rsidRPr="00D44766" w:rsidRDefault="009B2647"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Establishment of a risk management system</w:t>
      </w:r>
      <w:r w:rsidR="0088329C" w:rsidRPr="00D44766">
        <w:rPr>
          <w:rFonts w:ascii="Times New Roman" w:hAnsi="Times New Roman" w:cs="Times New Roman"/>
          <w:sz w:val="24"/>
          <w:szCs w:val="24"/>
          <w:lang w:val="en-GB"/>
        </w:rPr>
        <w:t xml:space="preserve">, ensuring compliance with the due diligence requirements and appointing responsibility to supervise the internal monitoring </w:t>
      </w:r>
      <w:r w:rsidR="00E239E1" w:rsidRPr="00D44766">
        <w:rPr>
          <w:rFonts w:ascii="Times New Roman" w:hAnsi="Times New Roman" w:cs="Times New Roman"/>
          <w:sz w:val="24"/>
          <w:szCs w:val="24"/>
          <w:lang w:val="en-GB"/>
        </w:rPr>
        <w:t>system.</w:t>
      </w:r>
    </w:p>
    <w:p w14:paraId="58AF8672" w14:textId="5E2DBB11" w:rsidR="0088329C" w:rsidRPr="00D44766" w:rsidRDefault="0088329C"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Regular conduct of risk management analysis</w:t>
      </w:r>
      <w:r w:rsidR="007D15FB">
        <w:rPr>
          <w:rFonts w:ascii="Times New Roman" w:hAnsi="Times New Roman" w:cs="Times New Roman"/>
          <w:sz w:val="24"/>
          <w:szCs w:val="24"/>
          <w:lang w:val="en-GB"/>
        </w:rPr>
        <w:t>.</w:t>
      </w:r>
    </w:p>
    <w:p w14:paraId="401D1344" w14:textId="41FB65D5" w:rsidR="0088329C" w:rsidRPr="00D44766" w:rsidRDefault="0088329C"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 xml:space="preserve">Official statement to adhere to human rights and the congruent company </w:t>
      </w:r>
      <w:r w:rsidR="00E239E1" w:rsidRPr="00D44766">
        <w:rPr>
          <w:rFonts w:ascii="Times New Roman" w:hAnsi="Times New Roman" w:cs="Times New Roman"/>
          <w:sz w:val="24"/>
          <w:szCs w:val="24"/>
          <w:lang w:val="en-GB"/>
        </w:rPr>
        <w:t>strategy.</w:t>
      </w:r>
    </w:p>
    <w:p w14:paraId="0EBE4298" w14:textId="1B6E6C5C" w:rsidR="0088329C" w:rsidRPr="00D44766" w:rsidRDefault="0088329C"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Establishing prevention measures</w:t>
      </w:r>
      <w:r w:rsidR="007D15FB">
        <w:rPr>
          <w:rFonts w:ascii="Times New Roman" w:hAnsi="Times New Roman" w:cs="Times New Roman"/>
          <w:sz w:val="24"/>
          <w:szCs w:val="24"/>
          <w:lang w:val="en-GB"/>
        </w:rPr>
        <w:t>.</w:t>
      </w:r>
    </w:p>
    <w:p w14:paraId="31260557" w14:textId="7C8B8706" w:rsidR="0088329C" w:rsidRPr="00D44766" w:rsidRDefault="0088329C"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 xml:space="preserve">Having remedial action in place in case of violation of human rights- or environmental obligations and establishing reporting procedures </w:t>
      </w:r>
    </w:p>
    <w:p w14:paraId="0305BFA1" w14:textId="1AD267A3" w:rsidR="0088329C" w:rsidRPr="00D44766" w:rsidRDefault="0088329C"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Implementation of due diligence obligations in relation to known risks of first-tier suppliers and the responding documentation</w:t>
      </w:r>
    </w:p>
    <w:p w14:paraId="3CA128EF" w14:textId="2B3AA818" w:rsidR="0088329C" w:rsidRPr="00D44766" w:rsidRDefault="0088329C"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Reporting about fulfilment of the due diligence obligations.</w:t>
      </w:r>
    </w:p>
    <w:p w14:paraId="1074C368" w14:textId="71627C62" w:rsidR="001D1E2E" w:rsidRPr="00D44766" w:rsidRDefault="0088329C" w:rsidP="002E26E0">
      <w:pPr>
        <w:contextualSpacing/>
        <w:rPr>
          <w:rFonts w:cs="Times New Roman"/>
          <w:lang w:val="en-GB"/>
        </w:rPr>
      </w:pPr>
      <w:r w:rsidRPr="00D44766">
        <w:rPr>
          <w:rFonts w:cs="Times New Roman"/>
          <w:szCs w:val="24"/>
          <w:lang w:val="en-GB"/>
        </w:rPr>
        <w:t xml:space="preserve">The specific risks which need to be prevented are defined by </w:t>
      </w:r>
      <w:r w:rsidR="00AF4D21" w:rsidRPr="00D44766">
        <w:rPr>
          <w:rFonts w:cs="Times New Roman"/>
          <w:szCs w:val="24"/>
          <w:lang w:val="en-GB"/>
        </w:rPr>
        <w:t>multiple international conventions like Minamata, Stockholm and Basel (</w:t>
      </w:r>
      <w:r w:rsidR="002324AF" w:rsidRPr="004C6F03">
        <w:rPr>
          <w:color w:val="70AD47" w:themeColor="accent6"/>
          <w:lang w:val="en-GB"/>
        </w:rPr>
        <w:t>Weihrauch, Carodenuto and Leipold, 2022</w:t>
      </w:r>
      <w:r w:rsidR="00AF4D21" w:rsidRPr="00D44766">
        <w:rPr>
          <w:rFonts w:cs="Times New Roman"/>
          <w:szCs w:val="24"/>
          <w:lang w:val="en-GB"/>
        </w:rPr>
        <w:t xml:space="preserve">, </w:t>
      </w:r>
      <w:r w:rsidR="00AF4D21" w:rsidRPr="002324AF">
        <w:rPr>
          <w:rFonts w:cs="Times New Roman"/>
          <w:color w:val="70AD47" w:themeColor="accent6"/>
          <w:szCs w:val="24"/>
          <w:lang w:val="en-GB"/>
        </w:rPr>
        <w:t>ECPAT International, 2022</w:t>
      </w:r>
      <w:r w:rsidR="00AF4D21" w:rsidRPr="00D44766">
        <w:rPr>
          <w:rFonts w:cs="Times New Roman"/>
          <w:szCs w:val="24"/>
          <w:lang w:val="en-GB"/>
        </w:rPr>
        <w:t>).</w:t>
      </w:r>
      <w:r w:rsidR="00850153" w:rsidRPr="00D44766">
        <w:rPr>
          <w:rFonts w:cs="Times New Roman"/>
          <w:szCs w:val="24"/>
          <w:lang w:val="en-GB"/>
        </w:rPr>
        <w:t xml:space="preserve"> </w:t>
      </w:r>
      <w:r w:rsidR="00850153" w:rsidRPr="00D44766">
        <w:rPr>
          <w:rFonts w:cs="Times New Roman"/>
          <w:lang w:val="en-GB"/>
        </w:rPr>
        <w:t>Companies not only have to fulfil the</w:t>
      </w:r>
      <w:r w:rsidR="00402190" w:rsidRPr="00D44766">
        <w:rPr>
          <w:rFonts w:cs="Times New Roman"/>
          <w:lang w:val="en-GB"/>
        </w:rPr>
        <w:t>se</w:t>
      </w:r>
      <w:r w:rsidR="00850153" w:rsidRPr="00D44766">
        <w:rPr>
          <w:rFonts w:cs="Times New Roman"/>
          <w:lang w:val="en-GB"/>
        </w:rPr>
        <w:t xml:space="preserve"> obligations for their own scope of business but also for their direct and indirect suppliers. Direct supplier</w:t>
      </w:r>
      <w:r w:rsidR="00BA1B9D" w:rsidRPr="00D44766">
        <w:rPr>
          <w:rFonts w:cs="Times New Roman"/>
          <w:lang w:val="en-GB"/>
        </w:rPr>
        <w:t>s</w:t>
      </w:r>
      <w:r w:rsidR="00850153" w:rsidRPr="00D44766">
        <w:rPr>
          <w:rFonts w:cs="Times New Roman"/>
          <w:lang w:val="en-GB"/>
        </w:rPr>
        <w:t xml:space="preserve"> are regarded as those contract</w:t>
      </w:r>
      <w:r w:rsidR="00BA1B9D" w:rsidRPr="00D44766">
        <w:rPr>
          <w:rFonts w:cs="Times New Roman"/>
          <w:lang w:val="en-GB"/>
        </w:rPr>
        <w:t xml:space="preserve">ed </w:t>
      </w:r>
      <w:r w:rsidR="00850153" w:rsidRPr="00D44766">
        <w:rPr>
          <w:rFonts w:cs="Times New Roman"/>
          <w:lang w:val="en-GB"/>
        </w:rPr>
        <w:t xml:space="preserve">partners, who deliver a good or a service to the German company which is inevitable to provide </w:t>
      </w:r>
      <w:r w:rsidR="001D1E2E" w:rsidRPr="00D44766">
        <w:rPr>
          <w:rFonts w:cs="Times New Roman"/>
          <w:lang w:val="en-GB"/>
        </w:rPr>
        <w:t xml:space="preserve">the finale </w:t>
      </w:r>
      <w:r w:rsidR="00850153" w:rsidRPr="00D44766">
        <w:rPr>
          <w:rFonts w:cs="Times New Roman"/>
          <w:lang w:val="en-GB"/>
        </w:rPr>
        <w:t>good</w:t>
      </w:r>
      <w:r w:rsidR="001D1E2E" w:rsidRPr="00D44766">
        <w:rPr>
          <w:rFonts w:cs="Times New Roman"/>
          <w:lang w:val="en-GB"/>
        </w:rPr>
        <w:t xml:space="preserve"> or </w:t>
      </w:r>
      <w:r w:rsidR="00850153" w:rsidRPr="00D44766">
        <w:rPr>
          <w:rFonts w:cs="Times New Roman"/>
          <w:lang w:val="en-GB"/>
        </w:rPr>
        <w:t>serv</w:t>
      </w:r>
      <w:r w:rsidR="001D1E2E" w:rsidRPr="00D44766">
        <w:rPr>
          <w:rFonts w:cs="Times New Roman"/>
          <w:lang w:val="en-GB"/>
        </w:rPr>
        <w:t>i</w:t>
      </w:r>
      <w:r w:rsidR="00850153" w:rsidRPr="00D44766">
        <w:rPr>
          <w:rFonts w:cs="Times New Roman"/>
          <w:lang w:val="en-GB"/>
        </w:rPr>
        <w:t>ce to clients.</w:t>
      </w:r>
      <w:r w:rsidR="00BA1B9D" w:rsidRPr="00D44766">
        <w:rPr>
          <w:rFonts w:cs="Times New Roman"/>
          <w:lang w:val="en-GB"/>
        </w:rPr>
        <w:t xml:space="preserve"> For these first-tier suppliers, under the Act companies now also have to implement extensive prevention measures, which should already start during the initial selection process of the respective supplier. The second group of </w:t>
      </w:r>
      <w:r w:rsidR="00E239E1" w:rsidRPr="00D44766">
        <w:rPr>
          <w:rFonts w:cs="Times New Roman"/>
          <w:lang w:val="en-GB"/>
        </w:rPr>
        <w:t>suppliers</w:t>
      </w:r>
      <w:r w:rsidR="00BA1B9D" w:rsidRPr="00D44766">
        <w:rPr>
          <w:rFonts w:cs="Times New Roman"/>
          <w:lang w:val="en-GB"/>
        </w:rPr>
        <w:t xml:space="preserve"> are indirect suppler – they still are indispensable for creating the finale product/service but there is no direct contractual relationship with the company. </w:t>
      </w:r>
      <w:r w:rsidR="00E239E1" w:rsidRPr="00D44766">
        <w:rPr>
          <w:rFonts w:cs="Times New Roman"/>
          <w:lang w:val="en-GB"/>
        </w:rPr>
        <w:t>These indirect suppliers</w:t>
      </w:r>
      <w:r w:rsidR="00BA1B9D" w:rsidRPr="00D44766">
        <w:rPr>
          <w:rFonts w:cs="Times New Roman"/>
          <w:lang w:val="en-GB"/>
        </w:rPr>
        <w:t xml:space="preserve"> most often hold contracts with the direct suppliers</w:t>
      </w:r>
      <w:r w:rsidR="004717BE" w:rsidRPr="00D44766">
        <w:rPr>
          <w:rFonts w:cs="Times New Roman"/>
          <w:lang w:val="en-GB"/>
        </w:rPr>
        <w:t xml:space="preserve">. Obligations for </w:t>
      </w:r>
      <w:r w:rsidR="00E239E1" w:rsidRPr="00D44766">
        <w:rPr>
          <w:rFonts w:cs="Times New Roman"/>
          <w:lang w:val="en-GB"/>
        </w:rPr>
        <w:t>these indirect suppliers</w:t>
      </w:r>
      <w:r w:rsidR="004717BE" w:rsidRPr="00D44766">
        <w:rPr>
          <w:rFonts w:cs="Times New Roman"/>
          <w:lang w:val="en-GB"/>
        </w:rPr>
        <w:t xml:space="preserve"> are only limited to actions which have to be taken upon the event that “substantiated knowledge” is gathered on potential misconduct (</w:t>
      </w:r>
      <w:r w:rsidR="004717BE" w:rsidRPr="002324AF">
        <w:rPr>
          <w:rFonts w:cs="Times New Roman"/>
          <w:color w:val="70AD47" w:themeColor="accent6"/>
          <w:lang w:val="en-GB"/>
        </w:rPr>
        <w:t>ECPAT International, 2022</w:t>
      </w:r>
      <w:r w:rsidR="004717BE" w:rsidRPr="00D44766">
        <w:rPr>
          <w:rFonts w:cs="Times New Roman"/>
          <w:lang w:val="en-GB"/>
        </w:rPr>
        <w:t xml:space="preserve">). The company does not have to obligation to seek this information proactively or even monitor the </w:t>
      </w:r>
      <w:r w:rsidR="00402190" w:rsidRPr="00D44766">
        <w:rPr>
          <w:rFonts w:cs="Times New Roman"/>
          <w:lang w:val="en-GB"/>
        </w:rPr>
        <w:t>in</w:t>
      </w:r>
      <w:r w:rsidR="004717BE" w:rsidRPr="00D44766">
        <w:rPr>
          <w:rFonts w:cs="Times New Roman"/>
          <w:lang w:val="en-GB"/>
        </w:rPr>
        <w:t>direct suppliers (</w:t>
      </w:r>
      <w:r w:rsidR="004717BE" w:rsidRPr="002324AF">
        <w:rPr>
          <w:rFonts w:cs="Times New Roman"/>
          <w:color w:val="70AD47" w:themeColor="accent6"/>
          <w:lang w:val="en-GB"/>
        </w:rPr>
        <w:t>ECPAT International, 2022</w:t>
      </w:r>
      <w:r w:rsidR="004717BE" w:rsidRPr="00D44766">
        <w:rPr>
          <w:rFonts w:cs="Times New Roman"/>
          <w:lang w:val="en-GB"/>
        </w:rPr>
        <w:t xml:space="preserve">). </w:t>
      </w:r>
    </w:p>
    <w:p w14:paraId="7634F53E" w14:textId="7DEF560C" w:rsidR="0088329C" w:rsidRPr="00D44766" w:rsidRDefault="004717BE" w:rsidP="002E26E0">
      <w:pPr>
        <w:contextualSpacing/>
        <w:rPr>
          <w:rFonts w:cs="Times New Roman"/>
          <w:szCs w:val="24"/>
          <w:lang w:val="en-GB"/>
        </w:rPr>
      </w:pPr>
      <w:r w:rsidRPr="00D44766">
        <w:rPr>
          <w:rFonts w:cs="Times New Roman"/>
          <w:lang w:val="en-GB"/>
        </w:rPr>
        <w:t>Companies falling under the Act are now</w:t>
      </w:r>
      <w:r w:rsidR="00402190" w:rsidRPr="00D44766">
        <w:rPr>
          <w:rFonts w:cs="Times New Roman"/>
          <w:lang w:val="en-GB"/>
        </w:rPr>
        <w:t xml:space="preserve"> also</w:t>
      </w:r>
      <w:r w:rsidRPr="00D44766">
        <w:rPr>
          <w:rFonts w:cs="Times New Roman"/>
          <w:lang w:val="en-GB"/>
        </w:rPr>
        <w:t xml:space="preserve"> required to submit a report</w:t>
      </w:r>
      <w:r w:rsidRPr="00D44766">
        <w:rPr>
          <w:lang w:val="en-GB"/>
        </w:rPr>
        <w:t xml:space="preserve">. </w:t>
      </w:r>
      <w:r w:rsidR="000B24D5" w:rsidRPr="00D44766">
        <w:rPr>
          <w:rFonts w:cs="Times New Roman"/>
          <w:szCs w:val="24"/>
          <w:lang w:val="en-GB"/>
        </w:rPr>
        <w:t xml:space="preserve">The reports should usually (see exception </w:t>
      </w:r>
      <w:r w:rsidR="007D15FB">
        <w:rPr>
          <w:rFonts w:cs="Times New Roman"/>
          <w:szCs w:val="24"/>
          <w:lang w:val="en-GB"/>
        </w:rPr>
        <w:t>below</w:t>
      </w:r>
      <w:r w:rsidR="000B24D5" w:rsidRPr="00D44766">
        <w:rPr>
          <w:rFonts w:cs="Times New Roman"/>
          <w:szCs w:val="24"/>
          <w:lang w:val="en-GB"/>
        </w:rPr>
        <w:t xml:space="preserve">) be published within four months after the end of the business year and be available free of charge on the company’s homepage for at least a </w:t>
      </w:r>
      <w:r w:rsidR="00E239E1" w:rsidRPr="00D44766">
        <w:rPr>
          <w:rFonts w:cs="Times New Roman"/>
          <w:szCs w:val="24"/>
          <w:lang w:val="en-GB"/>
        </w:rPr>
        <w:t>seven-</w:t>
      </w:r>
      <w:r w:rsidR="00E239E1" w:rsidRPr="00D44766">
        <w:rPr>
          <w:rFonts w:cs="Times New Roman"/>
          <w:szCs w:val="24"/>
          <w:lang w:val="en-GB"/>
        </w:rPr>
        <w:lastRenderedPageBreak/>
        <w:t>year</w:t>
      </w:r>
      <w:r w:rsidR="000B24D5" w:rsidRPr="00D44766">
        <w:rPr>
          <w:rFonts w:cs="Times New Roman"/>
          <w:szCs w:val="24"/>
          <w:lang w:val="en-GB"/>
        </w:rPr>
        <w:t xml:space="preserve"> period (</w:t>
      </w:r>
      <w:r w:rsidR="000B24D5" w:rsidRPr="002324AF">
        <w:rPr>
          <w:rFonts w:cs="Times New Roman"/>
          <w:color w:val="70AD47" w:themeColor="accent6"/>
          <w:szCs w:val="24"/>
          <w:lang w:val="en-GB"/>
        </w:rPr>
        <w:t>BAFA, 2023</w:t>
      </w:r>
      <w:r w:rsidR="000B24D5" w:rsidRPr="00D44766">
        <w:rPr>
          <w:rFonts w:cs="Times New Roman"/>
          <w:szCs w:val="24"/>
          <w:lang w:val="en-GB"/>
        </w:rPr>
        <w:t xml:space="preserve">). </w:t>
      </w:r>
      <w:r w:rsidRPr="00D44766">
        <w:rPr>
          <w:lang w:val="en-GB"/>
        </w:rPr>
        <w:t xml:space="preserve">As per the homepage of the </w:t>
      </w:r>
      <w:r w:rsidRPr="002324AF">
        <w:rPr>
          <w:color w:val="70AD47" w:themeColor="accent6"/>
          <w:lang w:val="en-GB"/>
        </w:rPr>
        <w:t>BAFA (2023</w:t>
      </w:r>
      <w:r w:rsidRPr="00D44766">
        <w:rPr>
          <w:lang w:val="en-GB"/>
        </w:rPr>
        <w:t xml:space="preserve">), reports for 2023 have to be submitted latest by June 2024. Even though a publication of the reports should have happened before that already, the BAFA will not sanction the delay as long as the reports are handed in by Mai 31, 2024. </w:t>
      </w:r>
      <w:r w:rsidR="00314C22" w:rsidRPr="00D44766">
        <w:rPr>
          <w:rFonts w:cs="Times New Roman"/>
          <w:szCs w:val="24"/>
          <w:lang w:val="en-GB"/>
        </w:rPr>
        <w:t>BAFA does supply a report questionnaire which (if truthful reported) should comprehensibly present:</w:t>
      </w:r>
    </w:p>
    <w:p w14:paraId="7C841476" w14:textId="1505CD3D" w:rsidR="00314C22" w:rsidRPr="00D44766" w:rsidRDefault="00314C22"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 xml:space="preserve">whether and if so, which human right and environmental risks or violations have been </w:t>
      </w:r>
      <w:r w:rsidR="00E239E1" w:rsidRPr="00D44766">
        <w:rPr>
          <w:rFonts w:ascii="Times New Roman" w:hAnsi="Times New Roman" w:cs="Times New Roman"/>
          <w:sz w:val="24"/>
          <w:szCs w:val="24"/>
          <w:lang w:val="en-GB"/>
        </w:rPr>
        <w:t>identified.</w:t>
      </w:r>
      <w:r w:rsidRPr="00D44766">
        <w:rPr>
          <w:rFonts w:ascii="Times New Roman" w:hAnsi="Times New Roman" w:cs="Times New Roman"/>
          <w:sz w:val="24"/>
          <w:szCs w:val="24"/>
          <w:lang w:val="en-GB"/>
        </w:rPr>
        <w:t xml:space="preserve"> </w:t>
      </w:r>
    </w:p>
    <w:p w14:paraId="0282CA58" w14:textId="21024BA0" w:rsidR="00314C22" w:rsidRPr="00D44766" w:rsidRDefault="00314C22"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which measures have been taken by the company in reference to the obligations laid out in the Act, including the official statement on human rights as well as the measure in place for dealing with complaints</w:t>
      </w:r>
    </w:p>
    <w:p w14:paraId="7D8C7C5E" w14:textId="180161CF" w:rsidR="00314C22" w:rsidRPr="00D44766" w:rsidRDefault="00314C22"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the company’s impact assessment as well as evaluation of the effectiveness of the measures</w:t>
      </w:r>
    </w:p>
    <w:p w14:paraId="27953BDE" w14:textId="684C2F0F" w:rsidR="00314C22" w:rsidRPr="00D44766" w:rsidRDefault="00314C22" w:rsidP="007D15FB">
      <w:pPr>
        <w:pStyle w:val="Listenabsatz"/>
        <w:numPr>
          <w:ilvl w:val="0"/>
          <w:numId w:val="18"/>
        </w:numPr>
        <w:spacing w:after="120" w:line="360" w:lineRule="auto"/>
        <w:rPr>
          <w:rFonts w:ascii="Times New Roman" w:hAnsi="Times New Roman" w:cs="Times New Roman"/>
          <w:sz w:val="24"/>
          <w:szCs w:val="24"/>
          <w:lang w:val="en-GB"/>
        </w:rPr>
      </w:pPr>
      <w:r w:rsidRPr="00D44766">
        <w:rPr>
          <w:rFonts w:ascii="Times New Roman" w:hAnsi="Times New Roman" w:cs="Times New Roman"/>
          <w:sz w:val="24"/>
          <w:szCs w:val="24"/>
          <w:lang w:val="en-GB"/>
        </w:rPr>
        <w:t>what conclusions the company draws from their evaluation for their future actions</w:t>
      </w:r>
    </w:p>
    <w:p w14:paraId="22E8986B" w14:textId="74FF2BBF" w:rsidR="0061389F" w:rsidRDefault="00D614A5" w:rsidP="002E26E0">
      <w:pPr>
        <w:contextualSpacing/>
        <w:rPr>
          <w:lang w:val="en-GB"/>
        </w:rPr>
      </w:pPr>
      <w:r w:rsidRPr="00D44766">
        <w:rPr>
          <w:lang w:val="en-GB"/>
        </w:rPr>
        <w:t xml:space="preserve">Throughout the negotiating phase </w:t>
      </w:r>
      <w:r w:rsidR="00402190" w:rsidRPr="00D44766">
        <w:rPr>
          <w:lang w:val="en-GB"/>
        </w:rPr>
        <w:t xml:space="preserve">of the Act </w:t>
      </w:r>
      <w:r w:rsidRPr="00D44766">
        <w:rPr>
          <w:lang w:val="en-GB"/>
        </w:rPr>
        <w:t>three different positions clashed with part</w:t>
      </w:r>
      <w:r w:rsidR="00A627A1">
        <w:rPr>
          <w:lang w:val="en-GB"/>
        </w:rPr>
        <w:t>l</w:t>
      </w:r>
      <w:r w:rsidRPr="00D44766">
        <w:rPr>
          <w:lang w:val="en-GB"/>
        </w:rPr>
        <w:t>y very different view as the table below summaries</w:t>
      </w:r>
      <w:r w:rsidR="00321BB8">
        <w:rPr>
          <w:lang w:val="en-GB"/>
        </w:rPr>
        <w:t>:</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0"/>
        <w:gridCol w:w="1899"/>
        <w:gridCol w:w="1842"/>
        <w:gridCol w:w="2103"/>
        <w:gridCol w:w="1974"/>
      </w:tblGrid>
      <w:tr w:rsidR="00321BB8" w:rsidRPr="00C647B6" w14:paraId="57B70565" w14:textId="77777777" w:rsidTr="002324AF">
        <w:tc>
          <w:tcPr>
            <w:tcW w:w="1470" w:type="dxa"/>
            <w:tcBorders>
              <w:top w:val="single" w:sz="12" w:space="0" w:color="auto"/>
              <w:bottom w:val="single" w:sz="12" w:space="0" w:color="auto"/>
            </w:tcBorders>
          </w:tcPr>
          <w:p w14:paraId="7727E9E6" w14:textId="77777777" w:rsidR="00321BB8" w:rsidRDefault="00321BB8" w:rsidP="001A5602">
            <w:pPr>
              <w:ind w:firstLine="0"/>
              <w:contextualSpacing/>
              <w:jc w:val="left"/>
              <w:rPr>
                <w:rFonts w:cs="Times New Roman"/>
                <w:lang w:val="en-GB"/>
              </w:rPr>
            </w:pPr>
          </w:p>
        </w:tc>
        <w:tc>
          <w:tcPr>
            <w:tcW w:w="1899" w:type="dxa"/>
            <w:tcBorders>
              <w:top w:val="single" w:sz="12" w:space="0" w:color="auto"/>
              <w:bottom w:val="single" w:sz="12" w:space="0" w:color="auto"/>
            </w:tcBorders>
          </w:tcPr>
          <w:p w14:paraId="51450262" w14:textId="7AD2085E" w:rsidR="00321BB8" w:rsidRPr="00D661A4" w:rsidRDefault="00321BB8" w:rsidP="001A5602">
            <w:pPr>
              <w:ind w:firstLine="0"/>
              <w:contextualSpacing/>
              <w:jc w:val="left"/>
              <w:rPr>
                <w:rFonts w:cs="Times New Roman"/>
                <w:sz w:val="24"/>
                <w:szCs w:val="24"/>
                <w:lang w:val="en-GB"/>
              </w:rPr>
            </w:pPr>
            <w:r>
              <w:rPr>
                <w:rFonts w:cs="Times New Roman"/>
                <w:sz w:val="24"/>
                <w:szCs w:val="24"/>
                <w:lang w:val="en-GB"/>
              </w:rPr>
              <w:t>Civil Society</w:t>
            </w:r>
          </w:p>
        </w:tc>
        <w:tc>
          <w:tcPr>
            <w:tcW w:w="1842" w:type="dxa"/>
            <w:tcBorders>
              <w:top w:val="single" w:sz="12" w:space="0" w:color="auto"/>
              <w:bottom w:val="single" w:sz="12" w:space="0" w:color="auto"/>
            </w:tcBorders>
          </w:tcPr>
          <w:p w14:paraId="4EC9FD70" w14:textId="77777777" w:rsidR="00814D8E" w:rsidRPr="00D43CC1" w:rsidRDefault="00321BB8" w:rsidP="001A5602">
            <w:pPr>
              <w:ind w:firstLine="0"/>
              <w:contextualSpacing/>
              <w:jc w:val="left"/>
              <w:rPr>
                <w:rFonts w:cs="Times New Roman"/>
                <w:sz w:val="24"/>
                <w:szCs w:val="24"/>
                <w:lang w:val="en-GB"/>
              </w:rPr>
            </w:pPr>
            <w:r w:rsidRPr="00D43CC1">
              <w:rPr>
                <w:rFonts w:cs="Times New Roman"/>
                <w:sz w:val="24"/>
                <w:szCs w:val="24"/>
                <w:lang w:val="en-GB"/>
              </w:rPr>
              <w:t xml:space="preserve">Ministries of </w:t>
            </w:r>
          </w:p>
          <w:p w14:paraId="5F793DBF" w14:textId="56A16EA5" w:rsidR="00321BB8" w:rsidRPr="00D43CC1" w:rsidRDefault="00503E83" w:rsidP="001A5602">
            <w:pPr>
              <w:ind w:firstLine="0"/>
              <w:contextualSpacing/>
              <w:jc w:val="left"/>
              <w:rPr>
                <w:rFonts w:cs="Times New Roman"/>
                <w:sz w:val="24"/>
                <w:szCs w:val="24"/>
                <w:lang w:val="en-GB"/>
              </w:rPr>
            </w:pPr>
            <w:r w:rsidRPr="00D43CC1">
              <w:rPr>
                <w:rFonts w:cs="Times New Roman"/>
                <w:sz w:val="24"/>
                <w:szCs w:val="24"/>
                <w:lang w:val="en-GB"/>
              </w:rPr>
              <w:t>labour</w:t>
            </w:r>
            <w:r w:rsidR="00321BB8" w:rsidRPr="00D43CC1">
              <w:rPr>
                <w:rFonts w:cs="Times New Roman"/>
                <w:sz w:val="24"/>
                <w:szCs w:val="24"/>
                <w:lang w:val="en-GB"/>
              </w:rPr>
              <w:t xml:space="preserve"> &amp; </w:t>
            </w:r>
            <w:r w:rsidR="00814D8E" w:rsidRPr="00D43CC1">
              <w:rPr>
                <w:rFonts w:cs="Times New Roman"/>
                <w:sz w:val="24"/>
                <w:szCs w:val="24"/>
                <w:lang w:val="en-GB"/>
              </w:rPr>
              <w:t>development</w:t>
            </w:r>
          </w:p>
        </w:tc>
        <w:tc>
          <w:tcPr>
            <w:tcW w:w="2103" w:type="dxa"/>
            <w:tcBorders>
              <w:top w:val="single" w:sz="12" w:space="0" w:color="auto"/>
              <w:bottom w:val="single" w:sz="12" w:space="0" w:color="auto"/>
            </w:tcBorders>
          </w:tcPr>
          <w:p w14:paraId="4942A18D" w14:textId="3CDF8F18" w:rsidR="00321BB8" w:rsidRPr="00D43CC1" w:rsidRDefault="00321BB8" w:rsidP="001A5602">
            <w:pPr>
              <w:ind w:firstLine="0"/>
              <w:contextualSpacing/>
              <w:jc w:val="left"/>
              <w:rPr>
                <w:rFonts w:cs="Times New Roman"/>
                <w:b/>
                <w:bCs/>
                <w:sz w:val="24"/>
                <w:szCs w:val="24"/>
                <w:lang w:val="en-GB"/>
              </w:rPr>
            </w:pPr>
            <w:r w:rsidRPr="00D43CC1">
              <w:rPr>
                <w:rFonts w:cs="Times New Roman"/>
                <w:b/>
                <w:bCs/>
                <w:sz w:val="24"/>
                <w:szCs w:val="24"/>
                <w:lang w:val="en-GB"/>
              </w:rPr>
              <w:t>Final Law</w:t>
            </w:r>
          </w:p>
        </w:tc>
        <w:tc>
          <w:tcPr>
            <w:tcW w:w="1974" w:type="dxa"/>
            <w:tcBorders>
              <w:top w:val="single" w:sz="12" w:space="0" w:color="auto"/>
              <w:bottom w:val="single" w:sz="12" w:space="0" w:color="auto"/>
            </w:tcBorders>
          </w:tcPr>
          <w:p w14:paraId="1C3C7DE9" w14:textId="4EBDEE4A" w:rsidR="00321BB8" w:rsidRPr="00D43CC1" w:rsidRDefault="00321BB8" w:rsidP="001A5602">
            <w:pPr>
              <w:ind w:firstLine="0"/>
              <w:contextualSpacing/>
              <w:jc w:val="left"/>
              <w:rPr>
                <w:rFonts w:cs="Times New Roman"/>
                <w:sz w:val="24"/>
                <w:szCs w:val="24"/>
                <w:lang w:val="en-GB"/>
              </w:rPr>
            </w:pPr>
            <w:r w:rsidRPr="00D43CC1">
              <w:rPr>
                <w:rFonts w:cs="Times New Roman"/>
                <w:sz w:val="24"/>
                <w:szCs w:val="24"/>
                <w:lang w:val="en-GB"/>
              </w:rPr>
              <w:t>Business associations and ministry of economics</w:t>
            </w:r>
          </w:p>
        </w:tc>
      </w:tr>
      <w:tr w:rsidR="00321BB8" w14:paraId="028CD7E2" w14:textId="77777777" w:rsidTr="002324AF">
        <w:tc>
          <w:tcPr>
            <w:tcW w:w="1470" w:type="dxa"/>
            <w:tcBorders>
              <w:top w:val="single" w:sz="12" w:space="0" w:color="auto"/>
              <w:bottom w:val="single" w:sz="2" w:space="0" w:color="auto"/>
            </w:tcBorders>
          </w:tcPr>
          <w:p w14:paraId="2356E4E9" w14:textId="0C5A67D8" w:rsidR="00321BB8" w:rsidRPr="00321BB8" w:rsidRDefault="00321BB8" w:rsidP="001A5602">
            <w:pPr>
              <w:ind w:firstLine="0"/>
              <w:contextualSpacing/>
              <w:jc w:val="left"/>
              <w:rPr>
                <w:rFonts w:cs="Times New Roman"/>
                <w:sz w:val="24"/>
                <w:szCs w:val="24"/>
                <w:lang w:val="en-GB"/>
              </w:rPr>
            </w:pPr>
            <w:r w:rsidRPr="00321BB8">
              <w:rPr>
                <w:rFonts w:cs="Times New Roman"/>
                <w:sz w:val="24"/>
                <w:szCs w:val="24"/>
                <w:lang w:val="en-GB"/>
              </w:rPr>
              <w:t>Coverage</w:t>
            </w:r>
          </w:p>
        </w:tc>
        <w:tc>
          <w:tcPr>
            <w:tcW w:w="1899" w:type="dxa"/>
            <w:tcBorders>
              <w:top w:val="single" w:sz="12" w:space="0" w:color="auto"/>
              <w:bottom w:val="single" w:sz="2" w:space="0" w:color="auto"/>
            </w:tcBorders>
          </w:tcPr>
          <w:p w14:paraId="579883BA" w14:textId="7626D4EE" w:rsidR="00321BB8" w:rsidRDefault="00321BB8" w:rsidP="001A5602">
            <w:pPr>
              <w:ind w:firstLine="0"/>
              <w:contextualSpacing/>
              <w:jc w:val="left"/>
              <w:rPr>
                <w:rFonts w:cs="Times New Roman"/>
                <w:lang w:val="en-GB"/>
              </w:rPr>
            </w:pPr>
            <w:r>
              <w:rPr>
                <w:rFonts w:cs="Times New Roman"/>
                <w:lang w:val="en-GB"/>
              </w:rPr>
              <w:t>All companies &gt;250 employees + all companies from risk sectors</w:t>
            </w:r>
          </w:p>
        </w:tc>
        <w:tc>
          <w:tcPr>
            <w:tcW w:w="1842" w:type="dxa"/>
            <w:tcBorders>
              <w:top w:val="single" w:sz="12" w:space="0" w:color="auto"/>
              <w:bottom w:val="single" w:sz="2" w:space="0" w:color="auto"/>
            </w:tcBorders>
          </w:tcPr>
          <w:p w14:paraId="238B3E86" w14:textId="160E0AA0" w:rsidR="00321BB8" w:rsidRDefault="00321BB8" w:rsidP="001A5602">
            <w:pPr>
              <w:ind w:firstLine="0"/>
              <w:contextualSpacing/>
              <w:jc w:val="left"/>
              <w:rPr>
                <w:rFonts w:cs="Times New Roman"/>
                <w:lang w:val="en-GB"/>
              </w:rPr>
            </w:pPr>
            <w:r>
              <w:rPr>
                <w:rFonts w:cs="Times New Roman"/>
                <w:lang w:val="en-GB"/>
              </w:rPr>
              <w:t>&gt;500 employees</w:t>
            </w:r>
          </w:p>
        </w:tc>
        <w:tc>
          <w:tcPr>
            <w:tcW w:w="2103" w:type="dxa"/>
            <w:tcBorders>
              <w:top w:val="single" w:sz="12" w:space="0" w:color="auto"/>
              <w:bottom w:val="single" w:sz="2" w:space="0" w:color="auto"/>
            </w:tcBorders>
          </w:tcPr>
          <w:p w14:paraId="4AB9A6B8" w14:textId="073B34B5" w:rsidR="00321BB8" w:rsidRPr="0079298A" w:rsidRDefault="00321BB8" w:rsidP="001A5602">
            <w:pPr>
              <w:ind w:firstLine="0"/>
              <w:contextualSpacing/>
              <w:jc w:val="left"/>
              <w:rPr>
                <w:rFonts w:cs="Times New Roman"/>
                <w:b/>
                <w:bCs/>
                <w:lang w:val="en-GB"/>
              </w:rPr>
            </w:pPr>
            <w:r w:rsidRPr="0079298A">
              <w:rPr>
                <w:rFonts w:cs="Times New Roman"/>
                <w:b/>
                <w:bCs/>
                <w:lang w:val="en-GB"/>
              </w:rPr>
              <w:t>2023 &gt;3000 employees, 2024 &gt;1000 employees</w:t>
            </w:r>
          </w:p>
        </w:tc>
        <w:tc>
          <w:tcPr>
            <w:tcW w:w="1974" w:type="dxa"/>
            <w:tcBorders>
              <w:top w:val="single" w:sz="12" w:space="0" w:color="auto"/>
              <w:bottom w:val="single" w:sz="2" w:space="0" w:color="auto"/>
            </w:tcBorders>
          </w:tcPr>
          <w:p w14:paraId="1096C193" w14:textId="0BB82633" w:rsidR="00321BB8" w:rsidRPr="00D43CC1" w:rsidRDefault="003F2553" w:rsidP="001A5602">
            <w:pPr>
              <w:ind w:firstLine="0"/>
              <w:contextualSpacing/>
              <w:jc w:val="left"/>
              <w:rPr>
                <w:rFonts w:cs="Times New Roman"/>
                <w:lang w:val="en-GB"/>
              </w:rPr>
            </w:pPr>
            <w:r w:rsidRPr="00D43CC1">
              <w:rPr>
                <w:rFonts w:cs="Times New Roman"/>
                <w:lang w:val="en-GB"/>
              </w:rPr>
              <w:t>&gt;5000 or 10.000 employees</w:t>
            </w:r>
          </w:p>
        </w:tc>
      </w:tr>
      <w:tr w:rsidR="00321BB8" w14:paraId="43641B78" w14:textId="77777777" w:rsidTr="002324AF">
        <w:tc>
          <w:tcPr>
            <w:tcW w:w="1470" w:type="dxa"/>
            <w:tcBorders>
              <w:top w:val="single" w:sz="2" w:space="0" w:color="auto"/>
              <w:bottom w:val="single" w:sz="2" w:space="0" w:color="auto"/>
            </w:tcBorders>
          </w:tcPr>
          <w:p w14:paraId="7042A468" w14:textId="7E8AB8AA" w:rsidR="00321BB8" w:rsidRPr="00321BB8" w:rsidRDefault="00321BB8" w:rsidP="001A5602">
            <w:pPr>
              <w:ind w:firstLine="0"/>
              <w:contextualSpacing/>
              <w:jc w:val="left"/>
              <w:rPr>
                <w:rFonts w:cs="Times New Roman"/>
                <w:sz w:val="24"/>
                <w:szCs w:val="24"/>
                <w:lang w:val="en-GB"/>
              </w:rPr>
            </w:pPr>
            <w:r w:rsidRPr="00321BB8">
              <w:rPr>
                <w:rFonts w:cs="Times New Roman"/>
                <w:sz w:val="24"/>
                <w:szCs w:val="24"/>
                <w:lang w:val="en-GB"/>
              </w:rPr>
              <w:t>Depth</w:t>
            </w:r>
          </w:p>
        </w:tc>
        <w:tc>
          <w:tcPr>
            <w:tcW w:w="1899" w:type="dxa"/>
            <w:tcBorders>
              <w:top w:val="single" w:sz="2" w:space="0" w:color="auto"/>
              <w:bottom w:val="single" w:sz="2" w:space="0" w:color="auto"/>
            </w:tcBorders>
          </w:tcPr>
          <w:p w14:paraId="47AA2989" w14:textId="5BBB1C86" w:rsidR="00321BB8" w:rsidRDefault="00321BB8" w:rsidP="001A5602">
            <w:pPr>
              <w:ind w:firstLine="0"/>
              <w:contextualSpacing/>
              <w:jc w:val="left"/>
              <w:rPr>
                <w:rFonts w:cs="Times New Roman"/>
                <w:lang w:val="en-GB"/>
              </w:rPr>
            </w:pPr>
            <w:r>
              <w:rPr>
                <w:rFonts w:cs="Times New Roman"/>
                <w:lang w:val="en-GB"/>
              </w:rPr>
              <w:t>Entire supply chain</w:t>
            </w:r>
          </w:p>
        </w:tc>
        <w:tc>
          <w:tcPr>
            <w:tcW w:w="1842" w:type="dxa"/>
            <w:tcBorders>
              <w:top w:val="single" w:sz="2" w:space="0" w:color="auto"/>
              <w:bottom w:val="single" w:sz="2" w:space="0" w:color="auto"/>
            </w:tcBorders>
          </w:tcPr>
          <w:p w14:paraId="660851FF" w14:textId="4E196430" w:rsidR="00321BB8" w:rsidRDefault="00321BB8" w:rsidP="001A5602">
            <w:pPr>
              <w:ind w:firstLine="0"/>
              <w:contextualSpacing/>
              <w:jc w:val="left"/>
              <w:rPr>
                <w:rFonts w:cs="Times New Roman"/>
                <w:lang w:val="en-GB"/>
              </w:rPr>
            </w:pPr>
            <w:r>
              <w:rPr>
                <w:rFonts w:cs="Times New Roman"/>
                <w:lang w:val="en-GB"/>
              </w:rPr>
              <w:t>Entire supply chain</w:t>
            </w:r>
          </w:p>
        </w:tc>
        <w:tc>
          <w:tcPr>
            <w:tcW w:w="2103" w:type="dxa"/>
            <w:tcBorders>
              <w:top w:val="single" w:sz="2" w:space="0" w:color="auto"/>
              <w:bottom w:val="single" w:sz="2" w:space="0" w:color="auto"/>
            </w:tcBorders>
          </w:tcPr>
          <w:p w14:paraId="683E8CAF" w14:textId="43B5B993" w:rsidR="00321BB8" w:rsidRPr="0079298A" w:rsidRDefault="00321BB8" w:rsidP="001A5602">
            <w:pPr>
              <w:ind w:firstLine="0"/>
              <w:contextualSpacing/>
              <w:jc w:val="left"/>
              <w:rPr>
                <w:rFonts w:cs="Times New Roman"/>
                <w:b/>
                <w:bCs/>
                <w:lang w:val="en-GB"/>
              </w:rPr>
            </w:pPr>
            <w:r w:rsidRPr="0079298A">
              <w:rPr>
                <w:rFonts w:cs="Times New Roman"/>
                <w:b/>
                <w:bCs/>
                <w:lang w:val="en-GB"/>
              </w:rPr>
              <w:t>Tier-1, but further in case of “substantiated knowledge”</w:t>
            </w:r>
          </w:p>
        </w:tc>
        <w:tc>
          <w:tcPr>
            <w:tcW w:w="1974" w:type="dxa"/>
            <w:tcBorders>
              <w:top w:val="single" w:sz="2" w:space="0" w:color="auto"/>
              <w:bottom w:val="single" w:sz="2" w:space="0" w:color="auto"/>
            </w:tcBorders>
          </w:tcPr>
          <w:p w14:paraId="42A808BD" w14:textId="5E86618A" w:rsidR="00321BB8" w:rsidRPr="00D43CC1" w:rsidRDefault="003F2553" w:rsidP="001A5602">
            <w:pPr>
              <w:ind w:firstLine="0"/>
              <w:contextualSpacing/>
              <w:jc w:val="left"/>
              <w:rPr>
                <w:rFonts w:cs="Times New Roman"/>
                <w:lang w:val="en-GB"/>
              </w:rPr>
            </w:pPr>
            <w:r w:rsidRPr="00D43CC1">
              <w:rPr>
                <w:rFonts w:cs="Times New Roman"/>
                <w:lang w:val="en-GB"/>
              </w:rPr>
              <w:t>Tier-1</w:t>
            </w:r>
          </w:p>
        </w:tc>
      </w:tr>
      <w:tr w:rsidR="00321BB8" w14:paraId="632CC146" w14:textId="77777777" w:rsidTr="002324AF">
        <w:tc>
          <w:tcPr>
            <w:tcW w:w="1470" w:type="dxa"/>
            <w:tcBorders>
              <w:top w:val="single" w:sz="2" w:space="0" w:color="auto"/>
              <w:bottom w:val="single" w:sz="2" w:space="0" w:color="auto"/>
            </w:tcBorders>
          </w:tcPr>
          <w:p w14:paraId="727E9824" w14:textId="631BA60B" w:rsidR="00321BB8" w:rsidRPr="00321BB8" w:rsidRDefault="00321BB8" w:rsidP="001A5602">
            <w:pPr>
              <w:ind w:firstLine="0"/>
              <w:contextualSpacing/>
              <w:jc w:val="left"/>
              <w:rPr>
                <w:rFonts w:cs="Times New Roman"/>
                <w:sz w:val="24"/>
                <w:szCs w:val="24"/>
                <w:lang w:val="en-GB"/>
              </w:rPr>
            </w:pPr>
            <w:r w:rsidRPr="00321BB8">
              <w:rPr>
                <w:rFonts w:cs="Times New Roman"/>
                <w:sz w:val="24"/>
                <w:szCs w:val="24"/>
                <w:lang w:val="en-GB"/>
              </w:rPr>
              <w:t>Sanctioning regime</w:t>
            </w:r>
          </w:p>
        </w:tc>
        <w:tc>
          <w:tcPr>
            <w:tcW w:w="1899" w:type="dxa"/>
            <w:tcBorders>
              <w:top w:val="single" w:sz="2" w:space="0" w:color="auto"/>
              <w:bottom w:val="single" w:sz="2" w:space="0" w:color="auto"/>
            </w:tcBorders>
          </w:tcPr>
          <w:p w14:paraId="7D9F9D34" w14:textId="121B9F9C" w:rsidR="00321BB8" w:rsidRDefault="00321BB8" w:rsidP="001A5602">
            <w:pPr>
              <w:ind w:firstLine="0"/>
              <w:contextualSpacing/>
              <w:jc w:val="left"/>
              <w:rPr>
                <w:rFonts w:cs="Times New Roman"/>
                <w:lang w:val="en-GB"/>
              </w:rPr>
            </w:pPr>
            <w:r>
              <w:rPr>
                <w:rFonts w:cs="Times New Roman"/>
                <w:lang w:val="en-GB"/>
              </w:rPr>
              <w:t xml:space="preserve">Administrative enforcement + civil liability </w:t>
            </w:r>
          </w:p>
        </w:tc>
        <w:tc>
          <w:tcPr>
            <w:tcW w:w="1842" w:type="dxa"/>
            <w:tcBorders>
              <w:top w:val="single" w:sz="2" w:space="0" w:color="auto"/>
              <w:bottom w:val="single" w:sz="2" w:space="0" w:color="auto"/>
            </w:tcBorders>
          </w:tcPr>
          <w:p w14:paraId="6F5EC51B" w14:textId="66B3835C" w:rsidR="00321BB8" w:rsidRDefault="00321BB8" w:rsidP="001A5602">
            <w:pPr>
              <w:ind w:firstLine="0"/>
              <w:contextualSpacing/>
              <w:jc w:val="left"/>
              <w:rPr>
                <w:rFonts w:cs="Times New Roman"/>
                <w:lang w:val="en-GB"/>
              </w:rPr>
            </w:pPr>
            <w:r>
              <w:rPr>
                <w:rFonts w:cs="Times New Roman"/>
                <w:lang w:val="en-GB"/>
              </w:rPr>
              <w:t>Administrative enforcement + civil liability</w:t>
            </w:r>
          </w:p>
        </w:tc>
        <w:tc>
          <w:tcPr>
            <w:tcW w:w="2103" w:type="dxa"/>
            <w:tcBorders>
              <w:top w:val="single" w:sz="2" w:space="0" w:color="auto"/>
              <w:bottom w:val="single" w:sz="2" w:space="0" w:color="auto"/>
            </w:tcBorders>
          </w:tcPr>
          <w:p w14:paraId="21BC8855" w14:textId="1B79E122" w:rsidR="00321BB8" w:rsidRPr="0079298A" w:rsidRDefault="00321BB8" w:rsidP="001A5602">
            <w:pPr>
              <w:ind w:firstLine="0"/>
              <w:contextualSpacing/>
              <w:jc w:val="left"/>
              <w:rPr>
                <w:rFonts w:cs="Times New Roman"/>
                <w:b/>
                <w:bCs/>
                <w:lang w:val="en-GB"/>
              </w:rPr>
            </w:pPr>
            <w:r w:rsidRPr="0079298A">
              <w:rPr>
                <w:rFonts w:cs="Times New Roman"/>
                <w:b/>
                <w:bCs/>
                <w:lang w:val="en-GB"/>
              </w:rPr>
              <w:t>Administrative enforcement + enhanced legal options for Unions and NGOs</w:t>
            </w:r>
          </w:p>
        </w:tc>
        <w:tc>
          <w:tcPr>
            <w:tcW w:w="1974" w:type="dxa"/>
            <w:tcBorders>
              <w:top w:val="single" w:sz="2" w:space="0" w:color="auto"/>
              <w:bottom w:val="single" w:sz="2" w:space="0" w:color="auto"/>
            </w:tcBorders>
          </w:tcPr>
          <w:p w14:paraId="58C6F188" w14:textId="56D8AF39" w:rsidR="00321BB8" w:rsidRPr="00D43CC1" w:rsidRDefault="003F2553" w:rsidP="001A5602">
            <w:pPr>
              <w:ind w:firstLine="0"/>
              <w:contextualSpacing/>
              <w:jc w:val="left"/>
              <w:rPr>
                <w:rFonts w:cs="Times New Roman"/>
                <w:lang w:val="en-GB"/>
              </w:rPr>
            </w:pPr>
            <w:r w:rsidRPr="00D43CC1">
              <w:rPr>
                <w:rFonts w:cs="Times New Roman"/>
                <w:lang w:val="en-GB"/>
              </w:rPr>
              <w:t>Administrative enforcement</w:t>
            </w:r>
          </w:p>
        </w:tc>
      </w:tr>
      <w:tr w:rsidR="00321BB8" w14:paraId="4416F809" w14:textId="77777777" w:rsidTr="002324AF">
        <w:tc>
          <w:tcPr>
            <w:tcW w:w="1470" w:type="dxa"/>
            <w:tcBorders>
              <w:top w:val="single" w:sz="2" w:space="0" w:color="auto"/>
              <w:bottom w:val="single" w:sz="2" w:space="0" w:color="auto"/>
            </w:tcBorders>
          </w:tcPr>
          <w:p w14:paraId="46FF9696" w14:textId="60C5E86A" w:rsidR="00321BB8" w:rsidRPr="00321BB8" w:rsidRDefault="00321BB8" w:rsidP="001A5602">
            <w:pPr>
              <w:ind w:firstLine="0"/>
              <w:contextualSpacing/>
              <w:jc w:val="left"/>
              <w:rPr>
                <w:rFonts w:cs="Times New Roman"/>
                <w:sz w:val="24"/>
                <w:szCs w:val="24"/>
                <w:lang w:val="en-GB"/>
              </w:rPr>
            </w:pPr>
            <w:r w:rsidRPr="00321BB8">
              <w:rPr>
                <w:rFonts w:cs="Times New Roman"/>
                <w:sz w:val="24"/>
                <w:szCs w:val="24"/>
                <w:lang w:val="en-GB"/>
              </w:rPr>
              <w:t>Environment</w:t>
            </w:r>
          </w:p>
        </w:tc>
        <w:tc>
          <w:tcPr>
            <w:tcW w:w="1899" w:type="dxa"/>
            <w:tcBorders>
              <w:top w:val="single" w:sz="2" w:space="0" w:color="auto"/>
              <w:bottom w:val="single" w:sz="2" w:space="0" w:color="auto"/>
            </w:tcBorders>
          </w:tcPr>
          <w:p w14:paraId="5640D182" w14:textId="177D1A8A" w:rsidR="00321BB8" w:rsidRDefault="00321BB8" w:rsidP="001A5602">
            <w:pPr>
              <w:ind w:firstLine="0"/>
              <w:contextualSpacing/>
              <w:jc w:val="left"/>
              <w:rPr>
                <w:rFonts w:cs="Times New Roman"/>
                <w:lang w:val="en-GB"/>
              </w:rPr>
            </w:pPr>
            <w:r>
              <w:rPr>
                <w:rFonts w:cs="Times New Roman"/>
                <w:lang w:val="en-GB"/>
              </w:rPr>
              <w:t>Full included</w:t>
            </w:r>
          </w:p>
        </w:tc>
        <w:tc>
          <w:tcPr>
            <w:tcW w:w="1842" w:type="dxa"/>
            <w:tcBorders>
              <w:top w:val="single" w:sz="2" w:space="0" w:color="auto"/>
              <w:bottom w:val="single" w:sz="2" w:space="0" w:color="auto"/>
            </w:tcBorders>
          </w:tcPr>
          <w:p w14:paraId="0FB239FA" w14:textId="3C20DE6D" w:rsidR="00321BB8" w:rsidRDefault="00321BB8" w:rsidP="001A5602">
            <w:pPr>
              <w:ind w:firstLine="0"/>
              <w:contextualSpacing/>
              <w:jc w:val="left"/>
              <w:rPr>
                <w:rFonts w:cs="Times New Roman"/>
                <w:lang w:val="en-GB"/>
              </w:rPr>
            </w:pPr>
            <w:r>
              <w:rPr>
                <w:rFonts w:cs="Times New Roman"/>
                <w:lang w:val="en-GB"/>
              </w:rPr>
              <w:t>Environment with link to human rights</w:t>
            </w:r>
          </w:p>
        </w:tc>
        <w:tc>
          <w:tcPr>
            <w:tcW w:w="2103" w:type="dxa"/>
            <w:tcBorders>
              <w:top w:val="single" w:sz="2" w:space="0" w:color="auto"/>
              <w:bottom w:val="single" w:sz="2" w:space="0" w:color="auto"/>
            </w:tcBorders>
          </w:tcPr>
          <w:p w14:paraId="4366E5D1" w14:textId="48D5E9DE" w:rsidR="00321BB8" w:rsidRPr="0079298A" w:rsidRDefault="00321BB8" w:rsidP="001A5602">
            <w:pPr>
              <w:ind w:firstLine="0"/>
              <w:contextualSpacing/>
              <w:jc w:val="left"/>
              <w:rPr>
                <w:rFonts w:cs="Times New Roman"/>
                <w:b/>
                <w:bCs/>
                <w:lang w:val="en-GB"/>
              </w:rPr>
            </w:pPr>
            <w:r w:rsidRPr="0079298A">
              <w:rPr>
                <w:rFonts w:cs="Times New Roman"/>
                <w:b/>
                <w:bCs/>
                <w:lang w:val="en-GB"/>
              </w:rPr>
              <w:t>Linked to Minamata, Stockholm, and Basel conventions</w:t>
            </w:r>
          </w:p>
        </w:tc>
        <w:tc>
          <w:tcPr>
            <w:tcW w:w="1974" w:type="dxa"/>
            <w:tcBorders>
              <w:top w:val="single" w:sz="2" w:space="0" w:color="auto"/>
              <w:bottom w:val="single" w:sz="2" w:space="0" w:color="auto"/>
            </w:tcBorders>
          </w:tcPr>
          <w:p w14:paraId="5D8B4D07" w14:textId="07C02136" w:rsidR="00321BB8" w:rsidRDefault="003F2553" w:rsidP="001A5602">
            <w:pPr>
              <w:ind w:firstLine="0"/>
              <w:contextualSpacing/>
              <w:jc w:val="left"/>
              <w:rPr>
                <w:rFonts w:cs="Times New Roman"/>
                <w:lang w:val="en-GB"/>
              </w:rPr>
            </w:pPr>
            <w:r>
              <w:rPr>
                <w:rFonts w:cs="Times New Roman"/>
                <w:lang w:val="en-GB"/>
              </w:rPr>
              <w:t>None</w:t>
            </w:r>
          </w:p>
        </w:tc>
      </w:tr>
    </w:tbl>
    <w:p w14:paraId="532CFB22" w14:textId="4D091895" w:rsidR="003D21A4" w:rsidRPr="003D21A4" w:rsidRDefault="003D21A4" w:rsidP="00D43CC1">
      <w:pPr>
        <w:pStyle w:val="Beschriftung"/>
        <w:jc w:val="center"/>
        <w:rPr>
          <w:lang w:val="en-GB"/>
        </w:rPr>
      </w:pPr>
      <w:bookmarkStart w:id="55" w:name="_Toc143361370"/>
      <w:r w:rsidRPr="003D21A4">
        <w:rPr>
          <w:lang w:val="en-GB"/>
        </w:rPr>
        <w:t xml:space="preserve">Table </w:t>
      </w:r>
      <w:r>
        <w:fldChar w:fldCharType="begin"/>
      </w:r>
      <w:r w:rsidRPr="003D21A4">
        <w:rPr>
          <w:lang w:val="en-GB"/>
        </w:rPr>
        <w:instrText xml:space="preserve"> SEQ Table \* ARABIC </w:instrText>
      </w:r>
      <w:r>
        <w:fldChar w:fldCharType="separate"/>
      </w:r>
      <w:r w:rsidRPr="003D21A4">
        <w:rPr>
          <w:noProof/>
          <w:lang w:val="en-GB"/>
        </w:rPr>
        <w:t>1</w:t>
      </w:r>
      <w:r>
        <w:fldChar w:fldCharType="end"/>
      </w:r>
      <w:r w:rsidRPr="003D21A4">
        <w:rPr>
          <w:lang w:val="en-GB"/>
        </w:rPr>
        <w:t>: Different positions on design of the law (Weihrauch, Carodenuto and Leipold, 2022</w:t>
      </w:r>
      <w:bookmarkEnd w:id="55"/>
    </w:p>
    <w:p w14:paraId="1BF52D02" w14:textId="16CF062D" w:rsidR="00CF6BFE" w:rsidRPr="00D44766" w:rsidRDefault="00D614A5" w:rsidP="002E26E0">
      <w:pPr>
        <w:contextualSpacing/>
        <w:rPr>
          <w:lang w:val="en-GB"/>
        </w:rPr>
      </w:pPr>
      <w:r w:rsidRPr="00D44766">
        <w:rPr>
          <w:lang w:val="en-GB"/>
        </w:rPr>
        <w:t>So</w:t>
      </w:r>
      <w:r w:rsidR="00402190" w:rsidRPr="00D44766">
        <w:rPr>
          <w:lang w:val="en-GB"/>
        </w:rPr>
        <w:t xml:space="preserve"> eventually,</w:t>
      </w:r>
      <w:r w:rsidRPr="00D44766">
        <w:rPr>
          <w:lang w:val="en-GB"/>
        </w:rPr>
        <w:t xml:space="preserve"> the law is a compromise between these three parties. Other than initially hoped by various stakeholders the law cannot be enforced under a civil law but underlies administrative enforcement. </w:t>
      </w:r>
      <w:r w:rsidR="004425A5" w:rsidRPr="00D44766">
        <w:rPr>
          <w:lang w:val="en-GB"/>
        </w:rPr>
        <w:t>Nonetheless, as the Initiative Lieferkettengesetz (2021) finds, the law contain strong control and enforcement</w:t>
      </w:r>
      <w:r w:rsidR="000E0266">
        <w:rPr>
          <w:lang w:val="en-GB"/>
        </w:rPr>
        <w:t xml:space="preserve"> mechamisms,</w:t>
      </w:r>
      <w:r w:rsidR="004425A5" w:rsidRPr="00D44766">
        <w:rPr>
          <w:lang w:val="en-GB"/>
        </w:rPr>
        <w:t xml:space="preserve"> which indicates that the parties demanding a strict foreign accountability of companies have pushed their agenda </w:t>
      </w:r>
      <w:r w:rsidR="00123213" w:rsidRPr="00D44766">
        <w:rPr>
          <w:lang w:val="en-GB"/>
        </w:rPr>
        <w:t xml:space="preserve">through. The control lies with the German Federal Office for Economic Affairs and Export Control (BAFA) </w:t>
      </w:r>
      <w:r w:rsidR="00123213" w:rsidRPr="00D44766">
        <w:rPr>
          <w:lang w:val="en-GB"/>
        </w:rPr>
        <w:lastRenderedPageBreak/>
        <w:t xml:space="preserve">and </w:t>
      </w:r>
      <w:r w:rsidR="000E0266">
        <w:rPr>
          <w:lang w:val="en-GB"/>
        </w:rPr>
        <w:t xml:space="preserve">it </w:t>
      </w:r>
      <w:r w:rsidR="00123213" w:rsidRPr="00D44766">
        <w:rPr>
          <w:lang w:val="en-GB"/>
        </w:rPr>
        <w:t>can fine companies for wrongful</w:t>
      </w:r>
      <w:r w:rsidR="000E0266">
        <w:rPr>
          <w:lang w:val="en-GB"/>
        </w:rPr>
        <w:t>ly</w:t>
      </w:r>
      <w:r w:rsidR="00123213" w:rsidRPr="00D44766">
        <w:rPr>
          <w:lang w:val="en-GB"/>
        </w:rPr>
        <w:t xml:space="preserve"> handling their supply chains with up to </w:t>
      </w:r>
      <w:r w:rsidR="000E0266">
        <w:rPr>
          <w:lang w:val="en-GB"/>
        </w:rPr>
        <w:t>2</w:t>
      </w:r>
      <w:r w:rsidR="00123213" w:rsidRPr="00D44766">
        <w:rPr>
          <w:lang w:val="en-GB"/>
        </w:rPr>
        <w:t xml:space="preserve"> % </w:t>
      </w:r>
      <w:r w:rsidR="00115999" w:rsidRPr="00D44766">
        <w:rPr>
          <w:lang w:val="en-GB"/>
        </w:rPr>
        <w:t xml:space="preserve">of the annual turnover and prevent the respective companies from </w:t>
      </w:r>
      <w:r w:rsidR="00402190" w:rsidRPr="00D44766">
        <w:rPr>
          <w:lang w:val="en-GB"/>
        </w:rPr>
        <w:t xml:space="preserve">future </w:t>
      </w:r>
      <w:r w:rsidR="00115999" w:rsidRPr="00D44766">
        <w:rPr>
          <w:lang w:val="en-GB"/>
        </w:rPr>
        <w:t xml:space="preserve">public contracts. </w:t>
      </w:r>
      <w:r w:rsidR="005D2724" w:rsidRPr="00D44766">
        <w:rPr>
          <w:lang w:val="en-GB"/>
        </w:rPr>
        <w:t>There</w:t>
      </w:r>
      <w:r w:rsidR="00402190" w:rsidRPr="00D44766">
        <w:rPr>
          <w:lang w:val="en-GB"/>
        </w:rPr>
        <w:t xml:space="preserve"> is</w:t>
      </w:r>
      <w:r w:rsidR="005D2724" w:rsidRPr="00D44766">
        <w:rPr>
          <w:lang w:val="en-GB"/>
        </w:rPr>
        <w:t xml:space="preserve"> now also the opportunity for victims of maltreatment to be represented by unions or </w:t>
      </w:r>
      <w:r w:rsidR="000E0266">
        <w:rPr>
          <w:lang w:val="en-GB"/>
        </w:rPr>
        <w:t>non-governmental organisations (</w:t>
      </w:r>
      <w:r w:rsidR="005D2724" w:rsidRPr="00D44766">
        <w:rPr>
          <w:lang w:val="en-GB"/>
        </w:rPr>
        <w:t>NGOs</w:t>
      </w:r>
      <w:r w:rsidR="000E0266">
        <w:rPr>
          <w:lang w:val="en-GB"/>
        </w:rPr>
        <w:t>)</w:t>
      </w:r>
      <w:r w:rsidR="005D2724" w:rsidRPr="00D44766">
        <w:rPr>
          <w:lang w:val="en-GB"/>
        </w:rPr>
        <w:t xml:space="preserve"> in German courts, </w:t>
      </w:r>
      <w:r w:rsidR="000E0266">
        <w:rPr>
          <w:lang w:val="en-GB"/>
        </w:rPr>
        <w:t>holding</w:t>
      </w:r>
      <w:r w:rsidR="005D2724" w:rsidRPr="00D44766">
        <w:rPr>
          <w:lang w:val="en-GB"/>
        </w:rPr>
        <w:t xml:space="preserve"> companies liable in their country of origin under private law. The length or depth of the supply chain that has to be incorporated </w:t>
      </w:r>
      <w:r w:rsidR="000E0266">
        <w:rPr>
          <w:lang w:val="en-GB"/>
        </w:rPr>
        <w:t xml:space="preserve">and monitored </w:t>
      </w:r>
      <w:r w:rsidR="005D2724" w:rsidRPr="00D44766">
        <w:rPr>
          <w:lang w:val="en-GB"/>
        </w:rPr>
        <w:t>at this stage</w:t>
      </w:r>
      <w:r w:rsidR="00402190" w:rsidRPr="00D44766">
        <w:rPr>
          <w:lang w:val="en-GB"/>
        </w:rPr>
        <w:t xml:space="preserve"> is limited to the direct suppliers</w:t>
      </w:r>
      <w:r w:rsidR="005D2724" w:rsidRPr="00D44766">
        <w:rPr>
          <w:lang w:val="en-GB"/>
        </w:rPr>
        <w:t xml:space="preserve"> – however, if ‘substantiate</w:t>
      </w:r>
      <w:r w:rsidR="009B2647" w:rsidRPr="00D44766">
        <w:rPr>
          <w:lang w:val="en-GB"/>
        </w:rPr>
        <w:t>d</w:t>
      </w:r>
      <w:r w:rsidR="005D2724" w:rsidRPr="00D44766">
        <w:rPr>
          <w:lang w:val="en-GB"/>
        </w:rPr>
        <w:t xml:space="preserve"> knowledge of a possible violation’ (</w:t>
      </w:r>
      <w:r w:rsidR="00814D8E" w:rsidRPr="00814D8E">
        <w:rPr>
          <w:color w:val="00B050"/>
          <w:lang w:val="en-GB"/>
        </w:rPr>
        <w:t>Bundesministerium für Justiz</w:t>
      </w:r>
      <w:r w:rsidR="005D2724" w:rsidRPr="00814D8E">
        <w:rPr>
          <w:color w:val="00B050"/>
          <w:lang w:val="en-GB"/>
        </w:rPr>
        <w:t>,</w:t>
      </w:r>
      <w:r w:rsidR="00814D8E">
        <w:rPr>
          <w:color w:val="00B050"/>
          <w:lang w:val="en-GB"/>
        </w:rPr>
        <w:t xml:space="preserve"> 2021,</w:t>
      </w:r>
      <w:r w:rsidR="005D2724" w:rsidRPr="00814D8E">
        <w:rPr>
          <w:color w:val="00B050"/>
          <w:lang w:val="en-GB"/>
        </w:rPr>
        <w:t xml:space="preserve"> p.2964</w:t>
      </w:r>
      <w:r w:rsidR="005D2724" w:rsidRPr="00D44766">
        <w:rPr>
          <w:lang w:val="en-GB"/>
        </w:rPr>
        <w:t xml:space="preserve">) is suspected, the risk analysis </w:t>
      </w:r>
      <w:r w:rsidR="00402190" w:rsidRPr="00D44766">
        <w:rPr>
          <w:lang w:val="en-GB"/>
        </w:rPr>
        <w:t xml:space="preserve">has to </w:t>
      </w:r>
      <w:r w:rsidR="00E83FC1">
        <w:rPr>
          <w:lang w:val="en-GB"/>
        </w:rPr>
        <w:t xml:space="preserve">be </w:t>
      </w:r>
      <w:r w:rsidR="00402190" w:rsidRPr="00D44766">
        <w:rPr>
          <w:lang w:val="en-GB"/>
        </w:rPr>
        <w:t>extended beyond the</w:t>
      </w:r>
      <w:r w:rsidR="005D2724" w:rsidRPr="00D44766">
        <w:rPr>
          <w:lang w:val="en-GB"/>
        </w:rPr>
        <w:t xml:space="preserve"> first line of suppliers. </w:t>
      </w:r>
      <w:r w:rsidR="009B2647" w:rsidRPr="00D44766">
        <w:rPr>
          <w:lang w:val="en-GB"/>
        </w:rPr>
        <w:t>But as often the case with laws</w:t>
      </w:r>
      <w:r w:rsidR="000E0266">
        <w:rPr>
          <w:lang w:val="en-GB"/>
        </w:rPr>
        <w:t xml:space="preserve">, </w:t>
      </w:r>
      <w:r w:rsidR="009B2647" w:rsidRPr="00D44766">
        <w:rPr>
          <w:lang w:val="en-GB"/>
        </w:rPr>
        <w:t>ambiguous word</w:t>
      </w:r>
      <w:r w:rsidR="00402190" w:rsidRPr="00D44766">
        <w:rPr>
          <w:lang w:val="en-GB"/>
        </w:rPr>
        <w:t>ing</w:t>
      </w:r>
      <w:r w:rsidR="009B2647" w:rsidRPr="00D44766">
        <w:rPr>
          <w:lang w:val="en-GB"/>
        </w:rPr>
        <w:t xml:space="preserve"> does leave room for various shades of interpretations</w:t>
      </w:r>
      <w:r w:rsidR="000E0266">
        <w:rPr>
          <w:lang w:val="en-GB"/>
        </w:rPr>
        <w:t xml:space="preserve"> and</w:t>
      </w:r>
      <w:r w:rsidR="009B2647" w:rsidRPr="00D44766">
        <w:rPr>
          <w:lang w:val="en-GB"/>
        </w:rPr>
        <w:t xml:space="preserve"> when </w:t>
      </w:r>
      <w:r w:rsidR="000E0266">
        <w:rPr>
          <w:lang w:val="en-GB"/>
        </w:rPr>
        <w:t xml:space="preserve">exactly knowledge </w:t>
      </w:r>
      <w:r w:rsidR="009B2647" w:rsidRPr="00D44766">
        <w:rPr>
          <w:lang w:val="en-GB"/>
        </w:rPr>
        <w:t xml:space="preserve">becomes ‘substantiated knowledge’ so far </w:t>
      </w:r>
      <w:r w:rsidR="000E0266">
        <w:rPr>
          <w:lang w:val="en-GB"/>
        </w:rPr>
        <w:t xml:space="preserve">remains </w:t>
      </w:r>
      <w:r w:rsidR="009B2647" w:rsidRPr="00D44766">
        <w:rPr>
          <w:lang w:val="en-GB"/>
        </w:rPr>
        <w:t>open (</w:t>
      </w:r>
      <w:r w:rsidR="002324AF" w:rsidRPr="004C6F03">
        <w:rPr>
          <w:color w:val="70AD47" w:themeColor="accent6"/>
          <w:lang w:val="en-GB"/>
        </w:rPr>
        <w:t>Weihrauch, Carodenuto and Leipold, 2022</w:t>
      </w:r>
      <w:r w:rsidR="009B2647" w:rsidRPr="00D44766">
        <w:rPr>
          <w:lang w:val="en-GB"/>
        </w:rPr>
        <w:t xml:space="preserve">). </w:t>
      </w:r>
      <w:r w:rsidR="00AF4D21" w:rsidRPr="00D44766">
        <w:rPr>
          <w:lang w:val="en-GB"/>
        </w:rPr>
        <w:t>Crucial also to mention though that the obligations are not success obligations but mere effort obligations – meaning that</w:t>
      </w:r>
      <w:r w:rsidR="00402190" w:rsidRPr="00D44766">
        <w:rPr>
          <w:lang w:val="en-GB"/>
        </w:rPr>
        <w:t xml:space="preserve"> to</w:t>
      </w:r>
      <w:r w:rsidR="00AF4D21" w:rsidRPr="00D44766">
        <w:rPr>
          <w:lang w:val="en-GB"/>
        </w:rPr>
        <w:t xml:space="preserve"> fulfil</w:t>
      </w:r>
      <w:r w:rsidR="00402190" w:rsidRPr="00D44766">
        <w:rPr>
          <w:lang w:val="en-GB"/>
        </w:rPr>
        <w:t xml:space="preserve"> </w:t>
      </w:r>
      <w:r w:rsidR="00AF4D21" w:rsidRPr="00D44766">
        <w:rPr>
          <w:lang w:val="en-GB"/>
        </w:rPr>
        <w:t>the obligation companies merely have to try to reduce risk for human</w:t>
      </w:r>
      <w:r w:rsidR="000B24D5" w:rsidRPr="00D44766">
        <w:rPr>
          <w:lang w:val="en-GB"/>
        </w:rPr>
        <w:t>s and environment (</w:t>
      </w:r>
      <w:r w:rsidR="000B24D5" w:rsidRPr="002324AF">
        <w:rPr>
          <w:color w:val="70AD47" w:themeColor="accent6"/>
          <w:lang w:val="en-GB"/>
        </w:rPr>
        <w:t>ECPAT International, 2022)</w:t>
      </w:r>
      <w:r w:rsidR="000B24D5" w:rsidRPr="00D44766">
        <w:rPr>
          <w:lang w:val="en-GB"/>
        </w:rPr>
        <w:t>. If the respective violations will actually be prevented is not in the scope of the company’s responsibility anymore (</w:t>
      </w:r>
      <w:r w:rsidR="000B24D5" w:rsidRPr="002324AF">
        <w:rPr>
          <w:color w:val="70AD47" w:themeColor="accent6"/>
          <w:lang w:val="en-GB"/>
        </w:rPr>
        <w:t>ECPAT International, 2022</w:t>
      </w:r>
      <w:r w:rsidR="000B24D5" w:rsidRPr="00D44766">
        <w:rPr>
          <w:lang w:val="en-GB"/>
        </w:rPr>
        <w:t xml:space="preserve">). </w:t>
      </w:r>
    </w:p>
    <w:p w14:paraId="713F0453" w14:textId="02E5264F" w:rsidR="009B2647" w:rsidRPr="00D44766" w:rsidRDefault="00825896" w:rsidP="002E26E0">
      <w:pPr>
        <w:contextualSpacing/>
        <w:rPr>
          <w:lang w:val="en-GB"/>
        </w:rPr>
      </w:pPr>
      <w:r w:rsidRPr="00D44766">
        <w:rPr>
          <w:lang w:val="en-GB"/>
        </w:rPr>
        <w:t xml:space="preserve">The new Act </w:t>
      </w:r>
      <w:r w:rsidR="00CF6BFE" w:rsidRPr="00D44766">
        <w:rPr>
          <w:lang w:val="en-GB"/>
        </w:rPr>
        <w:t xml:space="preserve">specifically does not want </w:t>
      </w:r>
      <w:r w:rsidR="00E239E1" w:rsidRPr="00D44766">
        <w:rPr>
          <w:lang w:val="en-GB"/>
        </w:rPr>
        <w:t>to create</w:t>
      </w:r>
      <w:r w:rsidR="00CF6BFE" w:rsidRPr="00D44766">
        <w:rPr>
          <w:lang w:val="en-GB"/>
        </w:rPr>
        <w:t xml:space="preserve"> new liabilities (</w:t>
      </w:r>
      <w:r w:rsidR="00CF6BFE" w:rsidRPr="002324AF">
        <w:rPr>
          <w:color w:val="70AD47" w:themeColor="accent6"/>
          <w:lang w:val="en-GB"/>
        </w:rPr>
        <w:t>ECPAT International, 2022</w:t>
      </w:r>
      <w:r w:rsidR="00CF6BFE" w:rsidRPr="00D44766">
        <w:rPr>
          <w:lang w:val="en-GB"/>
        </w:rPr>
        <w:t xml:space="preserve">) – there is the possibility for liability claims under the civil law whereby the aggrieved party can be represented by a union or </w:t>
      </w:r>
      <w:r w:rsidR="00A2358C" w:rsidRPr="00D44766">
        <w:rPr>
          <w:lang w:val="en-GB"/>
        </w:rPr>
        <w:t>an</w:t>
      </w:r>
      <w:r w:rsidR="00CF6BFE" w:rsidRPr="00D44766">
        <w:rPr>
          <w:lang w:val="en-GB"/>
        </w:rPr>
        <w:t xml:space="preserve"> NGO. Which means that independently from the Act, the aggrieved party can theoretically claim damages against German companies. However, in reality, even though German companies can be sued in Germany, the </w:t>
      </w:r>
      <w:r w:rsidR="00D73C74" w:rsidRPr="00D44766">
        <w:rPr>
          <w:lang w:val="en-GB"/>
        </w:rPr>
        <w:t xml:space="preserve">laws of the respective country apply where the violation took place; </w:t>
      </w:r>
      <w:r w:rsidR="00196777">
        <w:rPr>
          <w:lang w:val="en-GB"/>
        </w:rPr>
        <w:t>t</w:t>
      </w:r>
      <w:r w:rsidR="00D73C74" w:rsidRPr="00D44766">
        <w:rPr>
          <w:lang w:val="en-GB"/>
        </w:rPr>
        <w:t xml:space="preserve">his means that foreign law would have to be applied in German courts which is difficult and a long process and to actually prove a human rights violation conducted through a company is in most cases difficult </w:t>
      </w:r>
      <w:r w:rsidR="00D73C74" w:rsidRPr="002324AF">
        <w:rPr>
          <w:color w:val="70AD47" w:themeColor="accent6"/>
          <w:lang w:val="en-GB"/>
        </w:rPr>
        <w:t>(ECPAT International, 2022)</w:t>
      </w:r>
      <w:r w:rsidR="00D73C74" w:rsidRPr="00D44766">
        <w:rPr>
          <w:lang w:val="en-GB"/>
        </w:rPr>
        <w:t xml:space="preserve">. </w:t>
      </w:r>
      <w:r w:rsidR="00DC0EB1" w:rsidRPr="00D44766">
        <w:rPr>
          <w:lang w:val="en-GB"/>
        </w:rPr>
        <w:t xml:space="preserve">Even though the Act has only been in place since beginning of the year, a few perceived </w:t>
      </w:r>
      <w:r w:rsidR="00E239E1" w:rsidRPr="00D44766">
        <w:rPr>
          <w:lang w:val="en-GB"/>
        </w:rPr>
        <w:t>weaknesses</w:t>
      </w:r>
      <w:r w:rsidR="00DC0EB1" w:rsidRPr="00D44766">
        <w:rPr>
          <w:lang w:val="en-GB"/>
        </w:rPr>
        <w:t xml:space="preserve"> have been pointed out. First of all</w:t>
      </w:r>
      <w:r w:rsidR="00493DF5" w:rsidRPr="00D44766">
        <w:rPr>
          <w:lang w:val="en-GB"/>
        </w:rPr>
        <w:t>,</w:t>
      </w:r>
      <w:r w:rsidR="00DC0EB1" w:rsidRPr="00D44766">
        <w:rPr>
          <w:lang w:val="en-GB"/>
        </w:rPr>
        <w:t xml:space="preserve"> the </w:t>
      </w:r>
      <w:r w:rsidR="00E239E1" w:rsidRPr="00D44766">
        <w:rPr>
          <w:lang w:val="en-GB"/>
        </w:rPr>
        <w:t>above-mentioned</w:t>
      </w:r>
      <w:r w:rsidR="00DC0EB1" w:rsidRPr="00D44766">
        <w:rPr>
          <w:lang w:val="en-GB"/>
        </w:rPr>
        <w:t xml:space="preserve"> scope of responsibly which is being limited to a small set of business suppliers</w:t>
      </w:r>
      <w:r w:rsidR="00493DF5" w:rsidRPr="00D44766">
        <w:rPr>
          <w:lang w:val="en-GB"/>
        </w:rPr>
        <w:t>, secondly</w:t>
      </w:r>
      <w:r w:rsidR="00DC0EB1" w:rsidRPr="00D44766">
        <w:rPr>
          <w:lang w:val="en-GB"/>
        </w:rPr>
        <w:t xml:space="preserve"> that companies are only required to do mere risk assessment once they attain </w:t>
      </w:r>
      <w:r w:rsidR="00196777">
        <w:rPr>
          <w:lang w:val="en-GB"/>
        </w:rPr>
        <w:t>‘</w:t>
      </w:r>
      <w:r w:rsidR="00DC0EB1" w:rsidRPr="00D44766">
        <w:rPr>
          <w:lang w:val="en-GB"/>
        </w:rPr>
        <w:t>substantiated knowledge</w:t>
      </w:r>
      <w:r w:rsidR="00196777">
        <w:rPr>
          <w:lang w:val="en-GB"/>
        </w:rPr>
        <w:t>’</w:t>
      </w:r>
      <w:r w:rsidR="00DC0EB1" w:rsidRPr="00D44766">
        <w:rPr>
          <w:lang w:val="en-GB"/>
        </w:rPr>
        <w:t xml:space="preserve"> about potential violations (</w:t>
      </w:r>
      <w:r w:rsidR="00DC0EB1" w:rsidRPr="002324AF">
        <w:rPr>
          <w:color w:val="70AD47" w:themeColor="accent6"/>
          <w:lang w:val="en-GB"/>
        </w:rPr>
        <w:t>Tomin, 2022</w:t>
      </w:r>
      <w:r w:rsidR="00DC0EB1" w:rsidRPr="00D44766">
        <w:rPr>
          <w:lang w:val="en-GB"/>
        </w:rPr>
        <w:t xml:space="preserve">). The open-end definition of substantiated knowledge was touched upon in the previous lines. Additionally, it </w:t>
      </w:r>
      <w:r w:rsidR="00E239E1" w:rsidRPr="00D44766">
        <w:rPr>
          <w:lang w:val="en-GB"/>
        </w:rPr>
        <w:t>has been</w:t>
      </w:r>
      <w:r w:rsidR="00DC0EB1" w:rsidRPr="00D44766">
        <w:rPr>
          <w:lang w:val="en-GB"/>
        </w:rPr>
        <w:t xml:space="preserve"> criticized that during the risk assessment companies </w:t>
      </w:r>
      <w:r w:rsidR="00A2358C" w:rsidRPr="00D44766">
        <w:rPr>
          <w:lang w:val="en-GB"/>
        </w:rPr>
        <w:t>do not</w:t>
      </w:r>
      <w:r w:rsidR="00DC0EB1" w:rsidRPr="00D44766">
        <w:rPr>
          <w:lang w:val="en-GB"/>
        </w:rPr>
        <w:t xml:space="preserve"> have to consult with relevant groups to asses</w:t>
      </w:r>
      <w:r w:rsidR="00BA1B9D" w:rsidRPr="00D44766">
        <w:rPr>
          <w:lang w:val="en-GB"/>
        </w:rPr>
        <w:t>s their results on potential violation risks (</w:t>
      </w:r>
      <w:r w:rsidR="00BA1B9D" w:rsidRPr="002324AF">
        <w:rPr>
          <w:color w:val="70AD47" w:themeColor="accent6"/>
          <w:lang w:val="en-GB"/>
        </w:rPr>
        <w:t>Tomin, 2022).</w:t>
      </w:r>
      <w:r w:rsidR="00BA1B9D" w:rsidRPr="00D44766">
        <w:rPr>
          <w:lang w:val="en-GB"/>
        </w:rPr>
        <w:t xml:space="preserve"> The Act also does fail to set up rules regarding comprehensive due diligence obligation towards environmental risks and the loss of biodiversity and climate change is not addressed even though both can have a detrimental effect on respective supply chain (</w:t>
      </w:r>
      <w:r w:rsidR="00BA1B9D" w:rsidRPr="002324AF">
        <w:rPr>
          <w:color w:val="70AD47" w:themeColor="accent6"/>
          <w:lang w:val="en-GB"/>
        </w:rPr>
        <w:t>Tomin, 2022</w:t>
      </w:r>
      <w:r w:rsidR="00BA1B9D" w:rsidRPr="00D44766">
        <w:rPr>
          <w:lang w:val="en-GB"/>
        </w:rPr>
        <w:t xml:space="preserve">). </w:t>
      </w:r>
    </w:p>
    <w:p w14:paraId="67884A93" w14:textId="4C3B9D6D" w:rsidR="00D73C74" w:rsidRPr="00D44766" w:rsidRDefault="00D73C74" w:rsidP="002E26E0">
      <w:pPr>
        <w:contextualSpacing/>
        <w:rPr>
          <w:lang w:val="en-GB"/>
        </w:rPr>
      </w:pPr>
      <w:r w:rsidRPr="00D44766">
        <w:rPr>
          <w:lang w:val="en-GB"/>
        </w:rPr>
        <w:lastRenderedPageBreak/>
        <w:t xml:space="preserve">On the level of the European Union a new Act is currently drafted and discussed- the </w:t>
      </w:r>
      <w:r w:rsidR="00E239E1" w:rsidRPr="00D44766">
        <w:rPr>
          <w:lang w:val="en-GB"/>
        </w:rPr>
        <w:t>so-called</w:t>
      </w:r>
      <w:r w:rsidRPr="00D44766">
        <w:rPr>
          <w:lang w:val="en-GB"/>
        </w:rPr>
        <w:t xml:space="preserve"> European Directive on Corporate Sustainability Due Diligence. As </w:t>
      </w:r>
      <w:r w:rsidR="00196777">
        <w:rPr>
          <w:lang w:val="en-GB"/>
        </w:rPr>
        <w:t xml:space="preserve">Bright and Smit  (2022) from </w:t>
      </w:r>
      <w:r w:rsidRPr="00D44766">
        <w:rPr>
          <w:lang w:val="en-GB"/>
        </w:rPr>
        <w:t xml:space="preserve">the British Institute of International and Comparative Law </w:t>
      </w:r>
      <w:r w:rsidR="00714B1B" w:rsidRPr="00D44766">
        <w:rPr>
          <w:lang w:val="en-GB"/>
        </w:rPr>
        <w:t xml:space="preserve">highlight ‘this is a historic moment for the field of business and human rights, ESGs and the strive towards sustainable and responsible business conduct that upholds respect for human rights, decent work and environmental standards throughout the entire global value </w:t>
      </w:r>
      <w:r w:rsidR="00A2358C" w:rsidRPr="00D44766">
        <w:rPr>
          <w:lang w:val="en-GB"/>
        </w:rPr>
        <w:t>chain.</w:t>
      </w:r>
      <w:r w:rsidR="00E239E1" w:rsidRPr="00D44766">
        <w:rPr>
          <w:lang w:val="en-GB"/>
        </w:rPr>
        <w:t>’</w:t>
      </w:r>
      <w:r w:rsidR="00196777">
        <w:rPr>
          <w:lang w:val="en-GB"/>
        </w:rPr>
        <w:t xml:space="preserve"> (Bright and Smit, 2022, p.1).</w:t>
      </w:r>
      <w:r w:rsidR="00714B1B" w:rsidRPr="00D44766">
        <w:rPr>
          <w:lang w:val="en-GB"/>
        </w:rPr>
        <w:t xml:space="preserve"> In comparison, the EU directive does apply civil remedies for victims – however, the responsibility to provide proof still is incumbent upon the victim. The sphere of influence would also be larger as it already includes companies with at least 500 employees and a worldwide turnover over €150 million for the last financial year and especially targets those companies operating in high-risk sectors (</w:t>
      </w:r>
      <w:r w:rsidR="00714B1B" w:rsidRPr="001D7470">
        <w:rPr>
          <w:color w:val="70AD47" w:themeColor="accent6"/>
          <w:lang w:val="en-GB"/>
        </w:rPr>
        <w:t>Bright and Smit, 2022</w:t>
      </w:r>
      <w:r w:rsidR="00714B1B" w:rsidRPr="00D44766">
        <w:rPr>
          <w:lang w:val="en-GB"/>
        </w:rPr>
        <w:t>). After two years, the</w:t>
      </w:r>
      <w:r w:rsidR="008A377E" w:rsidRPr="00D44766">
        <w:rPr>
          <w:lang w:val="en-GB"/>
        </w:rPr>
        <w:t xml:space="preserve"> scope is set to extend yet again, thus affecting business in high-risk sectors with more than 250 employees and a turnover of more than €40 million – with the constraint that a minimum of 50% of the turnover is generated in specific vulnerable sectors like clothing industry and extended food and beverage industry (including agriculture, forestry, fisheries etc.) (</w:t>
      </w:r>
      <w:r w:rsidR="008A377E" w:rsidRPr="001D7470">
        <w:rPr>
          <w:color w:val="70AD47" w:themeColor="accent6"/>
          <w:lang w:val="en-GB"/>
        </w:rPr>
        <w:t>Bright and Smit, 2022</w:t>
      </w:r>
      <w:r w:rsidR="008A377E" w:rsidRPr="00D44766">
        <w:rPr>
          <w:lang w:val="en-GB"/>
        </w:rPr>
        <w:t>). The due diligence obligation</w:t>
      </w:r>
      <w:r w:rsidR="00196777">
        <w:rPr>
          <w:lang w:val="en-GB"/>
        </w:rPr>
        <w:t>s</w:t>
      </w:r>
      <w:r w:rsidR="008A377E" w:rsidRPr="00D44766">
        <w:rPr>
          <w:lang w:val="en-GB"/>
        </w:rPr>
        <w:t xml:space="preserve"> would also be extended beyond first-tier and would include regular direct but also indirect business partners (</w:t>
      </w:r>
      <w:r w:rsidR="008A377E" w:rsidRPr="001D7470">
        <w:rPr>
          <w:color w:val="70AD47" w:themeColor="accent6"/>
          <w:lang w:val="en-GB"/>
        </w:rPr>
        <w:t>ECPAT International, 2022</w:t>
      </w:r>
      <w:r w:rsidR="008A377E" w:rsidRPr="00D44766">
        <w:rPr>
          <w:lang w:val="en-GB"/>
        </w:rPr>
        <w:t>). If the Act will come into action the European Commission estimates about 13.000 EU-companies and approximately 4</w:t>
      </w:r>
      <w:r w:rsidR="008F68ED">
        <w:rPr>
          <w:lang w:val="en-GB"/>
        </w:rPr>
        <w:t>.</w:t>
      </w:r>
      <w:r w:rsidR="008A377E" w:rsidRPr="00D44766">
        <w:rPr>
          <w:lang w:val="en-GB"/>
        </w:rPr>
        <w:t>000 third-country companies to be affected</w:t>
      </w:r>
      <w:r w:rsidR="008F68ED">
        <w:rPr>
          <w:lang w:val="en-GB"/>
        </w:rPr>
        <w:t xml:space="preserve"> (Bright and Smit, 2022)</w:t>
      </w:r>
      <w:r w:rsidR="008A377E" w:rsidRPr="00D44766">
        <w:rPr>
          <w:lang w:val="en-GB"/>
        </w:rPr>
        <w:t>.</w:t>
      </w:r>
    </w:p>
    <w:p w14:paraId="0D0DA5B6" w14:textId="3523263D" w:rsidR="00742BE1" w:rsidRPr="00D44766" w:rsidRDefault="00981DF9" w:rsidP="00981DF9">
      <w:pPr>
        <w:pStyle w:val="berschrift2"/>
        <w:ind w:left="284" w:firstLine="0"/>
        <w:contextualSpacing/>
        <w:rPr>
          <w:lang w:val="en-GB"/>
        </w:rPr>
      </w:pPr>
      <w:bookmarkStart w:id="56" w:name="_Toc143330992"/>
      <w:bookmarkStart w:id="57" w:name="_Toc143361659"/>
      <w:r>
        <w:rPr>
          <w:lang w:val="en-GB"/>
        </w:rPr>
        <w:t>4.2.</w:t>
      </w:r>
      <w:r w:rsidR="002D07AA">
        <w:rPr>
          <w:lang w:val="en-GB"/>
        </w:rPr>
        <w:t xml:space="preserve"> </w:t>
      </w:r>
      <w:r w:rsidR="00742BE1" w:rsidRPr="00D44766">
        <w:rPr>
          <w:lang w:val="en-GB"/>
        </w:rPr>
        <w:t>Implications of the Due Diligence Act on the German T</w:t>
      </w:r>
      <w:r w:rsidR="00A73471">
        <w:rPr>
          <w:lang w:val="en-GB"/>
        </w:rPr>
        <w:t>our Operators</w:t>
      </w:r>
      <w:bookmarkEnd w:id="56"/>
      <w:bookmarkEnd w:id="57"/>
    </w:p>
    <w:p w14:paraId="537C7CC9" w14:textId="19CBE21C" w:rsidR="00FE5AB7" w:rsidRPr="00D44766" w:rsidRDefault="008A377E" w:rsidP="002E26E0">
      <w:pPr>
        <w:spacing w:before="240"/>
        <w:ind w:left="284"/>
        <w:contextualSpacing/>
        <w:rPr>
          <w:rFonts w:cs="Times New Roman"/>
          <w:lang w:val="en-GB"/>
        </w:rPr>
      </w:pPr>
      <w:r w:rsidRPr="00D44766">
        <w:rPr>
          <w:rFonts w:cs="Times New Roman"/>
          <w:lang w:val="en-GB"/>
        </w:rPr>
        <w:t xml:space="preserve">As outlined above, the Due Diligence Act does </w:t>
      </w:r>
      <w:r w:rsidR="003E62F4" w:rsidRPr="00D44766">
        <w:rPr>
          <w:rFonts w:cs="Times New Roman"/>
          <w:lang w:val="en-GB"/>
        </w:rPr>
        <w:t xml:space="preserve">affect the German tourism industry since </w:t>
      </w:r>
      <w:r w:rsidR="00B008D7">
        <w:rPr>
          <w:rFonts w:cs="Times New Roman"/>
          <w:lang w:val="en-GB"/>
        </w:rPr>
        <w:t xml:space="preserve">the </w:t>
      </w:r>
      <w:r w:rsidR="003E62F4" w:rsidRPr="00D44766">
        <w:rPr>
          <w:rFonts w:cs="Times New Roman"/>
          <w:lang w:val="en-GB"/>
        </w:rPr>
        <w:t xml:space="preserve">beginning of </w:t>
      </w:r>
      <w:r w:rsidR="00A73471">
        <w:rPr>
          <w:rFonts w:cs="Times New Roman"/>
          <w:lang w:val="en-GB"/>
        </w:rPr>
        <w:t>2023</w:t>
      </w:r>
      <w:r w:rsidR="003E62F4" w:rsidRPr="00D44766">
        <w:rPr>
          <w:rFonts w:cs="Times New Roman"/>
          <w:lang w:val="en-GB"/>
        </w:rPr>
        <w:t xml:space="preserve"> and </w:t>
      </w:r>
      <w:r w:rsidR="00A73471">
        <w:rPr>
          <w:rFonts w:cs="Times New Roman"/>
          <w:lang w:val="en-GB"/>
        </w:rPr>
        <w:t>a small number of actors in the industry</w:t>
      </w:r>
      <w:r w:rsidR="003E62F4" w:rsidRPr="00D44766">
        <w:rPr>
          <w:rFonts w:cs="Times New Roman"/>
          <w:lang w:val="en-GB"/>
        </w:rPr>
        <w:t xml:space="preserve"> have to take on responsibility and incorporate the newly imposed obligations into their business operations.</w:t>
      </w:r>
      <w:r w:rsidR="001D1692">
        <w:rPr>
          <w:rFonts w:cs="Times New Roman"/>
          <w:lang w:val="en-GB"/>
        </w:rPr>
        <w:t xml:space="preserve"> </w:t>
      </w:r>
      <w:r w:rsidR="00F255AE">
        <w:rPr>
          <w:rFonts w:cs="Times New Roman"/>
          <w:lang w:val="en-GB"/>
        </w:rPr>
        <w:t>The scope though is relatively small</w:t>
      </w:r>
      <w:r w:rsidR="00B008D7">
        <w:rPr>
          <w:rFonts w:cs="Times New Roman"/>
          <w:lang w:val="en-GB"/>
        </w:rPr>
        <w:t xml:space="preserve"> looking at the TO industry</w:t>
      </w:r>
      <w:r w:rsidR="00F255AE">
        <w:rPr>
          <w:rFonts w:cs="Times New Roman"/>
          <w:lang w:val="en-GB"/>
        </w:rPr>
        <w:t>. Out of the 2.300 registered TOs in Germany,</w:t>
      </w:r>
      <w:r w:rsidR="00A57335" w:rsidRPr="00D44766">
        <w:rPr>
          <w:rFonts w:cs="Times New Roman"/>
          <w:lang w:val="en-GB"/>
        </w:rPr>
        <w:t xml:space="preserve"> in th</w:t>
      </w:r>
      <w:r w:rsidR="00255779">
        <w:rPr>
          <w:rFonts w:cs="Times New Roman"/>
          <w:lang w:val="en-GB"/>
        </w:rPr>
        <w:t>is</w:t>
      </w:r>
      <w:r w:rsidR="00A57335" w:rsidRPr="00D44766">
        <w:rPr>
          <w:rFonts w:cs="Times New Roman"/>
          <w:lang w:val="en-GB"/>
        </w:rPr>
        <w:t xml:space="preserve"> first instance t</w:t>
      </w:r>
      <w:r w:rsidR="00255779">
        <w:rPr>
          <w:rFonts w:cs="Times New Roman"/>
          <w:lang w:val="en-GB"/>
        </w:rPr>
        <w:t>he Act</w:t>
      </w:r>
      <w:r w:rsidR="00A57335" w:rsidRPr="00D44766">
        <w:rPr>
          <w:rFonts w:cs="Times New Roman"/>
          <w:lang w:val="en-GB"/>
        </w:rPr>
        <w:t xml:space="preserve"> will</w:t>
      </w:r>
      <w:r w:rsidR="00255779">
        <w:rPr>
          <w:rFonts w:cs="Times New Roman"/>
          <w:lang w:val="en-GB"/>
        </w:rPr>
        <w:t xml:space="preserve"> only</w:t>
      </w:r>
      <w:r w:rsidR="00A57335" w:rsidRPr="00D44766">
        <w:rPr>
          <w:rFonts w:cs="Times New Roman"/>
          <w:lang w:val="en-GB"/>
        </w:rPr>
        <w:t xml:space="preserve"> apply </w:t>
      </w:r>
      <w:r w:rsidR="000C13CB" w:rsidRPr="00D44766">
        <w:rPr>
          <w:rFonts w:cs="Times New Roman"/>
          <w:lang w:val="en-GB"/>
        </w:rPr>
        <w:t xml:space="preserve">to </w:t>
      </w:r>
      <w:r w:rsidR="00255779">
        <w:rPr>
          <w:rFonts w:cs="Times New Roman"/>
          <w:lang w:val="en-GB"/>
        </w:rPr>
        <w:t xml:space="preserve">four of the </w:t>
      </w:r>
      <w:r w:rsidR="000C13CB" w:rsidRPr="00D44766">
        <w:rPr>
          <w:rFonts w:cs="Times New Roman"/>
          <w:lang w:val="en-GB"/>
        </w:rPr>
        <w:t>German TOs</w:t>
      </w:r>
      <w:r w:rsidR="00255779">
        <w:rPr>
          <w:rFonts w:cs="Times New Roman"/>
          <w:lang w:val="en-GB"/>
        </w:rPr>
        <w:t xml:space="preserve"> namely:</w:t>
      </w:r>
      <w:r w:rsidR="000C13CB" w:rsidRPr="00D44766">
        <w:rPr>
          <w:rFonts w:cs="Times New Roman"/>
          <w:lang w:val="en-GB"/>
        </w:rPr>
        <w:t xml:space="preserve"> alltours, FTI Group, TUI Group and DER Touristik. Especially the latter three are the three major TOs within the market</w:t>
      </w:r>
      <w:r w:rsidR="004C017C" w:rsidRPr="00D44766">
        <w:rPr>
          <w:rFonts w:cs="Times New Roman"/>
          <w:lang w:val="en-GB"/>
        </w:rPr>
        <w:t>,</w:t>
      </w:r>
      <w:r w:rsidR="000C13CB" w:rsidRPr="00D44766">
        <w:rPr>
          <w:rFonts w:cs="Times New Roman"/>
          <w:lang w:val="en-GB"/>
        </w:rPr>
        <w:t xml:space="preserve"> operating in destinations world-wide with multiple sub-brands with which they operate in the mass segment</w:t>
      </w:r>
      <w:r w:rsidR="00191DDF">
        <w:rPr>
          <w:rFonts w:cs="Times New Roman"/>
          <w:lang w:val="en-GB"/>
        </w:rPr>
        <w:t xml:space="preserve"> (TUI alone names 21 million clients, TUI Group, 2023b)</w:t>
      </w:r>
      <w:r w:rsidR="000C13CB" w:rsidRPr="00D44766">
        <w:rPr>
          <w:rFonts w:cs="Times New Roman"/>
          <w:lang w:val="en-GB"/>
        </w:rPr>
        <w:t xml:space="preserve"> but also in the luxury segment. Their operations extend beyond the tour operating sector – they </w:t>
      </w:r>
      <w:r w:rsidR="00271D45" w:rsidRPr="00D44766">
        <w:rPr>
          <w:rFonts w:cs="Times New Roman"/>
          <w:lang w:val="en-GB"/>
        </w:rPr>
        <w:t xml:space="preserve">have their own as well as franchised </w:t>
      </w:r>
      <w:r w:rsidR="00191DDF">
        <w:rPr>
          <w:rFonts w:cs="Times New Roman"/>
          <w:lang w:val="en-GB"/>
        </w:rPr>
        <w:t>TA</w:t>
      </w:r>
      <w:r w:rsidR="00271D45" w:rsidRPr="00D44766">
        <w:rPr>
          <w:rFonts w:cs="Times New Roman"/>
          <w:lang w:val="en-GB"/>
        </w:rPr>
        <w:t xml:space="preserve"> operations, </w:t>
      </w:r>
      <w:r w:rsidR="000C13CB" w:rsidRPr="00D44766">
        <w:rPr>
          <w:rFonts w:cs="Times New Roman"/>
          <w:lang w:val="en-GB"/>
        </w:rPr>
        <w:t xml:space="preserve">own and manage hotels, cruise lines, local destination management companies and even own airlines – resulting in a multi-layered network and </w:t>
      </w:r>
      <w:r w:rsidR="00271D45" w:rsidRPr="00D44766">
        <w:rPr>
          <w:rFonts w:cs="Times New Roman"/>
          <w:lang w:val="en-GB"/>
        </w:rPr>
        <w:t xml:space="preserve">numerous stakeholders. </w:t>
      </w:r>
    </w:p>
    <w:p w14:paraId="36700E0E" w14:textId="1A5A249A" w:rsidR="00191DDF" w:rsidRDefault="00271D45" w:rsidP="002E26E0">
      <w:pPr>
        <w:spacing w:before="240"/>
        <w:ind w:left="284"/>
        <w:contextualSpacing/>
        <w:rPr>
          <w:rFonts w:cs="Times New Roman"/>
          <w:lang w:val="en-GB"/>
        </w:rPr>
      </w:pPr>
      <w:r w:rsidRPr="00D44766">
        <w:rPr>
          <w:rFonts w:cs="Times New Roman"/>
          <w:lang w:val="en-GB"/>
        </w:rPr>
        <w:lastRenderedPageBreak/>
        <w:t>In reference to the Due Diligence Act</w:t>
      </w:r>
      <w:r w:rsidR="004C017C" w:rsidRPr="00D44766">
        <w:rPr>
          <w:rFonts w:cs="Times New Roman"/>
          <w:lang w:val="en-GB"/>
        </w:rPr>
        <w:t>,</w:t>
      </w:r>
      <w:r w:rsidRPr="00D44766">
        <w:rPr>
          <w:rFonts w:cs="Times New Roman"/>
          <w:lang w:val="en-GB"/>
        </w:rPr>
        <w:t xml:space="preserve"> the scope of the actual supply chain </w:t>
      </w:r>
      <w:r w:rsidR="00191DDF">
        <w:rPr>
          <w:rFonts w:cs="Times New Roman"/>
          <w:lang w:val="en-GB"/>
        </w:rPr>
        <w:t>h</w:t>
      </w:r>
      <w:r w:rsidRPr="00D44766">
        <w:rPr>
          <w:rFonts w:cs="Times New Roman"/>
          <w:lang w:val="en-GB"/>
        </w:rPr>
        <w:t>as first to be identified – the specific obligations can be derived and actually depend on the proximity of the respective activity of their own business area which are essentially contributi</w:t>
      </w:r>
      <w:r w:rsidR="00191DDF">
        <w:rPr>
          <w:rFonts w:cs="Times New Roman"/>
          <w:lang w:val="en-GB"/>
        </w:rPr>
        <w:t>ng</w:t>
      </w:r>
      <w:r w:rsidRPr="00D44766">
        <w:rPr>
          <w:rFonts w:cs="Times New Roman"/>
          <w:lang w:val="en-GB"/>
        </w:rPr>
        <w:t xml:space="preserve"> to achieving the corporate goal (</w:t>
      </w:r>
      <w:r w:rsidRPr="001D7470">
        <w:rPr>
          <w:rFonts w:cs="Times New Roman"/>
          <w:color w:val="70AD47" w:themeColor="accent6"/>
          <w:lang w:val="en-GB"/>
        </w:rPr>
        <w:t>ECPAT International, 2022</w:t>
      </w:r>
      <w:r w:rsidRPr="00D44766">
        <w:rPr>
          <w:rFonts w:cs="Times New Roman"/>
          <w:lang w:val="en-GB"/>
        </w:rPr>
        <w:t>). For the German TOs</w:t>
      </w:r>
      <w:r w:rsidR="004C017C" w:rsidRPr="00D44766">
        <w:rPr>
          <w:rFonts w:cs="Times New Roman"/>
          <w:lang w:val="en-GB"/>
        </w:rPr>
        <w:t>,</w:t>
      </w:r>
      <w:r w:rsidRPr="00D44766">
        <w:rPr>
          <w:rFonts w:cs="Times New Roman"/>
          <w:lang w:val="en-GB"/>
        </w:rPr>
        <w:t xml:space="preserve"> this foremost refers to their own agents and clients as well as it extends to their hotel/cruise/airline/DMC operations</w:t>
      </w:r>
      <w:r w:rsidR="00201B19" w:rsidRPr="00D44766">
        <w:rPr>
          <w:rFonts w:cs="Times New Roman"/>
          <w:lang w:val="en-GB"/>
        </w:rPr>
        <w:t xml:space="preserve"> in the respective destinations. Within their own scope of business, the obligation to end violation of human right</w:t>
      </w:r>
      <w:r w:rsidR="0025420F" w:rsidRPr="00D44766">
        <w:rPr>
          <w:rFonts w:cs="Times New Roman"/>
          <w:lang w:val="en-GB"/>
        </w:rPr>
        <w:t>s</w:t>
      </w:r>
      <w:r w:rsidR="00201B19" w:rsidRPr="00D44766">
        <w:rPr>
          <w:rFonts w:cs="Times New Roman"/>
          <w:lang w:val="en-GB"/>
        </w:rPr>
        <w:t xml:space="preserve"> should be the goal of all remedial action. As laid out in the proceeding chapter, companies not only have to fulfil the obligation for their own scope of business but also for their direct and indirect suppliers</w:t>
      </w:r>
      <w:r w:rsidR="00850153" w:rsidRPr="00D44766">
        <w:rPr>
          <w:rFonts w:cs="Times New Roman"/>
          <w:lang w:val="en-GB"/>
        </w:rPr>
        <w:t>.</w:t>
      </w:r>
      <w:r w:rsidR="004717BE" w:rsidRPr="00D44766">
        <w:rPr>
          <w:rFonts w:cs="Times New Roman"/>
          <w:lang w:val="en-GB"/>
        </w:rPr>
        <w:t xml:space="preserve"> Following the analysis on the effects of the Due Diligence Act on the sexual exploitation of children in the travel and tourism industry from ECPAT International, the first challenge already exists in defining the supply chain and identifying which partner are crucial to deliver t</w:t>
      </w:r>
      <w:r w:rsidR="00191DDF">
        <w:rPr>
          <w:rFonts w:cs="Times New Roman"/>
          <w:lang w:val="en-GB"/>
        </w:rPr>
        <w:t>he</w:t>
      </w:r>
      <w:r w:rsidR="004717BE" w:rsidRPr="00D44766">
        <w:rPr>
          <w:rFonts w:cs="Times New Roman"/>
          <w:lang w:val="en-GB"/>
        </w:rPr>
        <w:t xml:space="preserve"> final service</w:t>
      </w:r>
      <w:r w:rsidR="00DB1882" w:rsidRPr="00D44766">
        <w:rPr>
          <w:rFonts w:cs="Times New Roman"/>
          <w:lang w:val="en-GB"/>
        </w:rPr>
        <w:t>. German TOs and their direct supplier will bring</w:t>
      </w:r>
      <w:r w:rsidR="00522DD7" w:rsidRPr="00D44766">
        <w:rPr>
          <w:rFonts w:cs="Times New Roman"/>
          <w:lang w:val="en-GB"/>
        </w:rPr>
        <w:t xml:space="preserve"> </w:t>
      </w:r>
      <w:r w:rsidR="00AA538D" w:rsidRPr="00D44766">
        <w:rPr>
          <w:rFonts w:cs="Times New Roman"/>
          <w:lang w:val="en-GB"/>
        </w:rPr>
        <w:t>travellers</w:t>
      </w:r>
      <w:r w:rsidR="00522DD7" w:rsidRPr="00D44766">
        <w:rPr>
          <w:rFonts w:cs="Times New Roman"/>
          <w:lang w:val="en-GB"/>
        </w:rPr>
        <w:t xml:space="preserve"> to and accommodate</w:t>
      </w:r>
      <w:r w:rsidR="00DB1882" w:rsidRPr="00D44766">
        <w:rPr>
          <w:rFonts w:cs="Times New Roman"/>
          <w:lang w:val="en-GB"/>
        </w:rPr>
        <w:t xml:space="preserve"> t</w:t>
      </w:r>
      <w:r w:rsidR="00522DD7" w:rsidRPr="00D44766">
        <w:rPr>
          <w:rFonts w:cs="Times New Roman"/>
          <w:lang w:val="en-GB"/>
        </w:rPr>
        <w:t>hem in</w:t>
      </w:r>
      <w:r w:rsidR="00DB1882" w:rsidRPr="00D44766">
        <w:rPr>
          <w:rFonts w:cs="Times New Roman"/>
          <w:lang w:val="en-GB"/>
        </w:rPr>
        <w:t xml:space="preserve"> the destination</w:t>
      </w:r>
      <w:r w:rsidR="00522DD7" w:rsidRPr="00D44766">
        <w:rPr>
          <w:rFonts w:cs="Times New Roman"/>
          <w:lang w:val="en-GB"/>
        </w:rPr>
        <w:t xml:space="preserve"> – but they </w:t>
      </w:r>
      <w:r w:rsidR="00DB1882" w:rsidRPr="00D44766">
        <w:rPr>
          <w:rFonts w:cs="Times New Roman"/>
          <w:lang w:val="en-GB"/>
        </w:rPr>
        <w:t>cannot be held responsible for the services which are being consume</w:t>
      </w:r>
      <w:r w:rsidR="00522DD7" w:rsidRPr="00D44766">
        <w:rPr>
          <w:rFonts w:cs="Times New Roman"/>
          <w:lang w:val="en-GB"/>
        </w:rPr>
        <w:t>d</w:t>
      </w:r>
      <w:r w:rsidR="00DB1882" w:rsidRPr="00D44766">
        <w:rPr>
          <w:rFonts w:cs="Times New Roman"/>
          <w:lang w:val="en-GB"/>
        </w:rPr>
        <w:t xml:space="preserve"> by the travellers ad-hoc and provided by third-party suppliers – and exactly here, human rights or environmental violations often take place. </w:t>
      </w:r>
      <w:r w:rsidR="005F64A0">
        <w:rPr>
          <w:rFonts w:cs="Times New Roman"/>
          <w:lang w:val="en-GB"/>
        </w:rPr>
        <w:t xml:space="preserve">So there can be a floating line between which services are considered to be a core part of the actual tourism product and which is not. Moreover, it varies from client to client and between the holiday packages. </w:t>
      </w:r>
      <w:r w:rsidR="00522DD7" w:rsidRPr="00D44766">
        <w:rPr>
          <w:rFonts w:cs="Times New Roman"/>
          <w:lang w:val="en-GB"/>
        </w:rPr>
        <w:t xml:space="preserve">According to </w:t>
      </w:r>
      <w:bookmarkStart w:id="58" w:name="_Hlk142588752"/>
      <w:r w:rsidR="00522DD7" w:rsidRPr="001D7470">
        <w:rPr>
          <w:rFonts w:cs="Times New Roman"/>
          <w:color w:val="70AD47" w:themeColor="accent6"/>
          <w:lang w:val="en-GB"/>
        </w:rPr>
        <w:t>Münck (2022</w:t>
      </w:r>
      <w:bookmarkEnd w:id="58"/>
      <w:r w:rsidR="00522DD7" w:rsidRPr="00D44766">
        <w:rPr>
          <w:rFonts w:cs="Times New Roman"/>
          <w:lang w:val="en-GB"/>
        </w:rPr>
        <w:t xml:space="preserve">) the tourism industry is particularly vulnerable and </w:t>
      </w:r>
      <w:r w:rsidR="00191DDF">
        <w:rPr>
          <w:rFonts w:cs="Times New Roman"/>
          <w:lang w:val="en-GB"/>
        </w:rPr>
        <w:t>specifically</w:t>
      </w:r>
      <w:r w:rsidR="00522DD7" w:rsidRPr="00D44766">
        <w:rPr>
          <w:rFonts w:cs="Times New Roman"/>
          <w:lang w:val="en-GB"/>
        </w:rPr>
        <w:t xml:space="preserve"> ha</w:t>
      </w:r>
      <w:r w:rsidR="004C017C" w:rsidRPr="00D44766">
        <w:rPr>
          <w:rFonts w:cs="Times New Roman"/>
          <w:lang w:val="en-GB"/>
        </w:rPr>
        <w:t>s</w:t>
      </w:r>
      <w:r w:rsidR="00522DD7" w:rsidRPr="00D44766">
        <w:rPr>
          <w:rFonts w:cs="Times New Roman"/>
          <w:lang w:val="en-GB"/>
        </w:rPr>
        <w:t xml:space="preserve"> to look into issues like children’s right, </w:t>
      </w:r>
      <w:r w:rsidR="00724089" w:rsidRPr="00D44766">
        <w:rPr>
          <w:rFonts w:cs="Times New Roman"/>
          <w:lang w:val="en-GB"/>
        </w:rPr>
        <w:t xml:space="preserve">employees’ rights, modern slavery, equality, access to land, water and food for the local population, standard of living and cultural identity, rule of law, corruption and political participation. </w:t>
      </w:r>
    </w:p>
    <w:p w14:paraId="3C7CBF15" w14:textId="0ADC09C9" w:rsidR="000A3D6E" w:rsidRDefault="00DB1882" w:rsidP="002E26E0">
      <w:pPr>
        <w:spacing w:before="240"/>
        <w:ind w:left="284"/>
        <w:contextualSpacing/>
        <w:rPr>
          <w:rFonts w:cs="Times New Roman"/>
          <w:lang w:val="en-GB"/>
        </w:rPr>
      </w:pPr>
      <w:r w:rsidRPr="00D44766">
        <w:rPr>
          <w:rFonts w:cs="Times New Roman"/>
          <w:lang w:val="en-GB"/>
        </w:rPr>
        <w:t>German TOs only have to act within their scope of the duty to care – meaning they can provide trainings and control measures with the aim to reduce the risk of any violations as well as implement contractual amendments in these regard</w:t>
      </w:r>
      <w:r w:rsidR="000A3D6E" w:rsidRPr="00D44766">
        <w:rPr>
          <w:rFonts w:cs="Times New Roman"/>
          <w:lang w:val="en-GB"/>
        </w:rPr>
        <w:t>s. Especially the contractual changes and hence obligations for direct supplier can be a useful tool (Human Rights in Tourism e.V.</w:t>
      </w:r>
      <w:r w:rsidR="001D7470">
        <w:rPr>
          <w:rFonts w:cs="Times New Roman"/>
          <w:lang w:val="en-GB"/>
        </w:rPr>
        <w:t>, 2023</w:t>
      </w:r>
      <w:r w:rsidR="000A3D6E" w:rsidRPr="00D44766">
        <w:rPr>
          <w:rFonts w:cs="Times New Roman"/>
          <w:lang w:val="en-GB"/>
        </w:rPr>
        <w:t>) as direct suppliers can be pushed towards stakeholder cooperation to prevent violations, to provide trainings and to educate travel</w:t>
      </w:r>
      <w:r w:rsidR="00A73471">
        <w:rPr>
          <w:rFonts w:cs="Times New Roman"/>
          <w:lang w:val="en-GB"/>
        </w:rPr>
        <w:t>l</w:t>
      </w:r>
      <w:r w:rsidR="000A3D6E" w:rsidRPr="00D44766">
        <w:rPr>
          <w:rFonts w:cs="Times New Roman"/>
          <w:lang w:val="en-GB"/>
        </w:rPr>
        <w:t>ers. And currently these contractual addendums are the major tool – supplier contracts (particularly hotels and local DMCs) are being amended to include these obligations. What the assessments and reporting will entail still remains to be seen as reports will only have to be submitted towards mid-2024.</w:t>
      </w:r>
    </w:p>
    <w:p w14:paraId="4D1B66F6" w14:textId="3928E769" w:rsidR="00742BE1" w:rsidRPr="00D44766" w:rsidRDefault="00AE26EB" w:rsidP="00AE26EB">
      <w:pPr>
        <w:pStyle w:val="berschrift2"/>
        <w:ind w:left="284" w:firstLine="0"/>
        <w:contextualSpacing/>
        <w:rPr>
          <w:lang w:val="en-GB"/>
        </w:rPr>
      </w:pPr>
      <w:bookmarkStart w:id="59" w:name="_Toc143330993"/>
      <w:bookmarkStart w:id="60" w:name="_Toc143361660"/>
      <w:r>
        <w:rPr>
          <w:lang w:val="en-GB"/>
        </w:rPr>
        <w:lastRenderedPageBreak/>
        <w:t>4.</w:t>
      </w:r>
      <w:r w:rsidR="00981DF9">
        <w:rPr>
          <w:lang w:val="en-GB"/>
        </w:rPr>
        <w:t>3</w:t>
      </w:r>
      <w:r>
        <w:rPr>
          <w:lang w:val="en-GB"/>
        </w:rPr>
        <w:t>.</w:t>
      </w:r>
      <w:r w:rsidR="002D07AA">
        <w:rPr>
          <w:lang w:val="en-GB"/>
        </w:rPr>
        <w:t xml:space="preserve"> </w:t>
      </w:r>
      <w:r w:rsidR="00742BE1" w:rsidRPr="00D44766">
        <w:rPr>
          <w:lang w:val="en-GB"/>
        </w:rPr>
        <w:t>Due Diligence Act</w:t>
      </w:r>
      <w:r w:rsidR="00F255AE">
        <w:rPr>
          <w:lang w:val="en-GB"/>
        </w:rPr>
        <w:t xml:space="preserve"> and </w:t>
      </w:r>
      <w:r w:rsidR="00742BE1" w:rsidRPr="00D44766">
        <w:rPr>
          <w:lang w:val="en-GB"/>
        </w:rPr>
        <w:t>CSR</w:t>
      </w:r>
      <w:bookmarkEnd w:id="59"/>
      <w:bookmarkEnd w:id="60"/>
    </w:p>
    <w:p w14:paraId="53D3BD3A" w14:textId="5A691642" w:rsidR="00C505EF" w:rsidRPr="00D44766" w:rsidRDefault="00C505EF" w:rsidP="002E26E0">
      <w:pPr>
        <w:contextualSpacing/>
        <w:rPr>
          <w:lang w:val="en-GB"/>
        </w:rPr>
      </w:pPr>
      <w:r w:rsidRPr="00D44766">
        <w:rPr>
          <w:lang w:val="en-GB"/>
        </w:rPr>
        <w:t xml:space="preserve">In today’s global economy, local companies are not only competing with companies from the same area/country but potentially also with a number of international companies offering </w:t>
      </w:r>
      <w:r w:rsidR="00A2358C" w:rsidRPr="00D44766">
        <w:rPr>
          <w:lang w:val="en-GB"/>
        </w:rPr>
        <w:t>remarkably comparable products</w:t>
      </w:r>
      <w:r w:rsidRPr="00D44766">
        <w:rPr>
          <w:lang w:val="en-GB"/>
        </w:rPr>
        <w:t xml:space="preserve">/services. Hence, competition has become fierce and all too often a differentiating strategy is based on </w:t>
      </w:r>
      <w:r w:rsidR="004C017C" w:rsidRPr="00D44766">
        <w:rPr>
          <w:lang w:val="en-GB"/>
        </w:rPr>
        <w:t>prices</w:t>
      </w:r>
      <w:r w:rsidR="007E564E" w:rsidRPr="00D44766">
        <w:rPr>
          <w:lang w:val="en-GB"/>
        </w:rPr>
        <w:t xml:space="preserve"> – which means somewhere in the supply chain, production costs have to be lower compared to the competition or a new innovation </w:t>
      </w:r>
      <w:r w:rsidR="005C18EF" w:rsidRPr="00D44766">
        <w:rPr>
          <w:lang w:val="en-GB"/>
        </w:rPr>
        <w:t>has been</w:t>
      </w:r>
      <w:r w:rsidR="007E564E" w:rsidRPr="00D44766">
        <w:rPr>
          <w:lang w:val="en-GB"/>
        </w:rPr>
        <w:t xml:space="preserve"> made to produce cheaper/faster and supply the market with a similar quality product but for a lower rate. Due to various scandals over the past years which are being spread throughout the world fast with the advancement of social media etc. companies do face pressure to act as a </w:t>
      </w:r>
      <w:r w:rsidR="00A2358C" w:rsidRPr="00D44766">
        <w:rPr>
          <w:lang w:val="en-GB"/>
        </w:rPr>
        <w:t>good corporate citizen</w:t>
      </w:r>
      <w:r w:rsidR="007E564E" w:rsidRPr="00D44766">
        <w:rPr>
          <w:lang w:val="en-GB"/>
        </w:rPr>
        <w:t xml:space="preserve"> and </w:t>
      </w:r>
      <w:r w:rsidR="005C18EF" w:rsidRPr="00D44766">
        <w:rPr>
          <w:lang w:val="en-GB"/>
        </w:rPr>
        <w:t xml:space="preserve">to </w:t>
      </w:r>
      <w:r w:rsidR="007E564E" w:rsidRPr="00D44766">
        <w:rPr>
          <w:lang w:val="en-GB"/>
        </w:rPr>
        <w:t>not exploit the</w:t>
      </w:r>
      <w:r w:rsidR="005C18EF" w:rsidRPr="00D44766">
        <w:rPr>
          <w:lang w:val="en-GB"/>
        </w:rPr>
        <w:t xml:space="preserve"> </w:t>
      </w:r>
      <w:r w:rsidR="007E564E" w:rsidRPr="00D44766">
        <w:rPr>
          <w:lang w:val="en-GB"/>
        </w:rPr>
        <w:t xml:space="preserve">environment for the sake of profit. The </w:t>
      </w:r>
      <w:r w:rsidR="005C18EF" w:rsidRPr="00D44766">
        <w:rPr>
          <w:lang w:val="en-GB"/>
        </w:rPr>
        <w:t xml:space="preserve">core of the </w:t>
      </w:r>
      <w:r w:rsidR="001F58E1" w:rsidRPr="00D44766">
        <w:rPr>
          <w:lang w:val="en-GB"/>
        </w:rPr>
        <w:t>debates often revolve</w:t>
      </w:r>
      <w:r w:rsidR="005C18EF" w:rsidRPr="00D44766">
        <w:rPr>
          <w:lang w:val="en-GB"/>
        </w:rPr>
        <w:t>s</w:t>
      </w:r>
      <w:r w:rsidR="001F58E1" w:rsidRPr="00D44766">
        <w:rPr>
          <w:lang w:val="en-GB"/>
        </w:rPr>
        <w:t xml:space="preserve"> a</w:t>
      </w:r>
      <w:r w:rsidR="005C18EF" w:rsidRPr="00D44766">
        <w:rPr>
          <w:lang w:val="en-GB"/>
        </w:rPr>
        <w:t xml:space="preserve">round </w:t>
      </w:r>
      <w:r w:rsidR="001F58E1" w:rsidRPr="00D44766">
        <w:rPr>
          <w:lang w:val="en-GB"/>
        </w:rPr>
        <w:t>the question to whom companies owe their responsibility – their shareholders and thus</w:t>
      </w:r>
      <w:r w:rsidR="005C18EF" w:rsidRPr="00D44766">
        <w:rPr>
          <w:lang w:val="en-GB"/>
        </w:rPr>
        <w:t xml:space="preserve"> have the obligation to</w:t>
      </w:r>
      <w:r w:rsidR="001F58E1" w:rsidRPr="00D44766">
        <w:rPr>
          <w:lang w:val="en-GB"/>
        </w:rPr>
        <w:t xml:space="preserve"> use the invested money to create a profit or to their stakeholders. In essence</w:t>
      </w:r>
      <w:r w:rsidR="004E1C29" w:rsidRPr="00D44766">
        <w:rPr>
          <w:lang w:val="en-GB"/>
        </w:rPr>
        <w:t xml:space="preserve"> though</w:t>
      </w:r>
      <w:r w:rsidR="001F58E1" w:rsidRPr="00D44766">
        <w:rPr>
          <w:lang w:val="en-GB"/>
        </w:rPr>
        <w:t xml:space="preserve">, it can be concluded, that a long-term shareholder satisfaction always needs to include a stakeholder satisfaction, too. </w:t>
      </w:r>
      <w:r w:rsidR="00A2358C" w:rsidRPr="00D44766">
        <w:rPr>
          <w:lang w:val="en-GB"/>
        </w:rPr>
        <w:t>Otherwise,</w:t>
      </w:r>
      <w:r w:rsidR="001F58E1" w:rsidRPr="00D44766">
        <w:rPr>
          <w:lang w:val="en-GB"/>
        </w:rPr>
        <w:t xml:space="preserve"> the license to operate is being jeopardized and stakeholders (</w:t>
      </w:r>
      <w:r w:rsidR="00A2358C" w:rsidRPr="00D44766">
        <w:rPr>
          <w:lang w:val="en-GB"/>
        </w:rPr>
        <w:t>e.g.,</w:t>
      </w:r>
      <w:r w:rsidR="001F58E1" w:rsidRPr="00D44766">
        <w:rPr>
          <w:lang w:val="en-GB"/>
        </w:rPr>
        <w:t xml:space="preserve"> consumers, supplier etc</w:t>
      </w:r>
      <w:r w:rsidR="004E1C29" w:rsidRPr="00D44766">
        <w:rPr>
          <w:lang w:val="en-GB"/>
        </w:rPr>
        <w:t>.)</w:t>
      </w:r>
      <w:r w:rsidR="001F58E1" w:rsidRPr="00D44766">
        <w:rPr>
          <w:lang w:val="en-GB"/>
        </w:rPr>
        <w:t xml:space="preserve"> will pull away from the business. So at least to a certain degree corporate responsibility has to be taken on and acted upon accordingly</w:t>
      </w:r>
      <w:r w:rsidR="004E1C29" w:rsidRPr="00D44766">
        <w:rPr>
          <w:lang w:val="en-GB"/>
        </w:rPr>
        <w:t xml:space="preserve"> to satisfy the majority of stakeholders – and a powerful group are the consumers</w:t>
      </w:r>
      <w:r w:rsidR="001F58E1" w:rsidRPr="00D44766">
        <w:rPr>
          <w:lang w:val="en-GB"/>
        </w:rPr>
        <w:t>. In many cases, co</w:t>
      </w:r>
      <w:r w:rsidR="004C017C" w:rsidRPr="00D44766">
        <w:rPr>
          <w:lang w:val="en-GB"/>
        </w:rPr>
        <w:t>nsumers</w:t>
      </w:r>
      <w:r w:rsidR="001F58E1" w:rsidRPr="00D44766">
        <w:rPr>
          <w:lang w:val="en-GB"/>
        </w:rPr>
        <w:t xml:space="preserve"> simply </w:t>
      </w:r>
      <w:r w:rsidR="00A2358C" w:rsidRPr="00D44766">
        <w:rPr>
          <w:lang w:val="en-GB"/>
        </w:rPr>
        <w:t>do not</w:t>
      </w:r>
      <w:r w:rsidR="001F58E1" w:rsidRPr="00D44766">
        <w:rPr>
          <w:lang w:val="en-GB"/>
        </w:rPr>
        <w:t xml:space="preserve"> accept excuses </w:t>
      </w:r>
      <w:r w:rsidR="00D60D25" w:rsidRPr="00D44766">
        <w:rPr>
          <w:lang w:val="en-GB"/>
        </w:rPr>
        <w:t xml:space="preserve">anymore </w:t>
      </w:r>
      <w:r w:rsidR="004E1C29" w:rsidRPr="00D44766">
        <w:rPr>
          <w:lang w:val="en-GB"/>
        </w:rPr>
        <w:t xml:space="preserve">stating </w:t>
      </w:r>
      <w:r w:rsidR="00D60D25" w:rsidRPr="00D44766">
        <w:rPr>
          <w:lang w:val="en-GB"/>
        </w:rPr>
        <w:t>that taking on more responsibility is not required by law or is going against proclaimed company goals (</w:t>
      </w:r>
      <w:r w:rsidR="00D60D25" w:rsidRPr="001D7470">
        <w:rPr>
          <w:color w:val="70AD47" w:themeColor="accent6"/>
          <w:lang w:val="en-GB"/>
        </w:rPr>
        <w:t>Gogoll and Wenke</w:t>
      </w:r>
      <w:r w:rsidR="001D7470" w:rsidRPr="001D7470">
        <w:rPr>
          <w:color w:val="70AD47" w:themeColor="accent6"/>
          <w:lang w:val="en-GB"/>
        </w:rPr>
        <w:t>,</w:t>
      </w:r>
      <w:r w:rsidR="00D60D25" w:rsidRPr="001D7470">
        <w:rPr>
          <w:color w:val="70AD47" w:themeColor="accent6"/>
          <w:lang w:val="en-GB"/>
        </w:rPr>
        <w:t xml:space="preserve"> 2017</w:t>
      </w:r>
      <w:r w:rsidR="00D60D25" w:rsidRPr="00D44766">
        <w:rPr>
          <w:lang w:val="en-GB"/>
        </w:rPr>
        <w:t xml:space="preserve">). </w:t>
      </w:r>
      <w:r w:rsidR="00A2358C" w:rsidRPr="00D44766">
        <w:rPr>
          <w:lang w:val="en-GB"/>
        </w:rPr>
        <w:t>Also,</w:t>
      </w:r>
      <w:r w:rsidR="00D60D25" w:rsidRPr="00D44766">
        <w:rPr>
          <w:lang w:val="en-GB"/>
        </w:rPr>
        <w:t xml:space="preserve"> it</w:t>
      </w:r>
      <w:r w:rsidR="004E1C29" w:rsidRPr="00D44766">
        <w:rPr>
          <w:lang w:val="en-GB"/>
        </w:rPr>
        <w:t xml:space="preserve"> i</w:t>
      </w:r>
      <w:r w:rsidR="00D60D25" w:rsidRPr="00D44766">
        <w:rPr>
          <w:lang w:val="en-GB"/>
        </w:rPr>
        <w:t>s not accepted and helpful for the companies to argue that taking over responsibility cannot be done in the current competitive environment. Companies have to be able to explain their decisions and operations in the broader context of society’s current expectations, hopes and fears (</w:t>
      </w:r>
      <w:r w:rsidR="00D60D25" w:rsidRPr="001D7470">
        <w:rPr>
          <w:color w:val="70AD47" w:themeColor="accent6"/>
          <w:lang w:val="en-GB"/>
        </w:rPr>
        <w:t>Gogoll and Wenke, 2017</w:t>
      </w:r>
      <w:r w:rsidR="00D60D25" w:rsidRPr="00D44766">
        <w:rPr>
          <w:lang w:val="en-GB"/>
        </w:rPr>
        <w:t>)</w:t>
      </w:r>
      <w:r w:rsidR="004E1C29" w:rsidRPr="00D44766">
        <w:rPr>
          <w:lang w:val="en-GB"/>
        </w:rPr>
        <w:t xml:space="preserve"> and as the literature shows that the tendency here is going towards an increased awareness towar</w:t>
      </w:r>
      <w:r w:rsidR="00AE7689" w:rsidRPr="00D44766">
        <w:rPr>
          <w:lang w:val="en-GB"/>
        </w:rPr>
        <w:t>ds</w:t>
      </w:r>
      <w:r w:rsidR="004E1C29" w:rsidRPr="00D44766">
        <w:rPr>
          <w:lang w:val="en-GB"/>
        </w:rPr>
        <w:t xml:space="preserve"> </w:t>
      </w:r>
      <w:r w:rsidR="00AE7689" w:rsidRPr="00D44766">
        <w:rPr>
          <w:lang w:val="en-GB"/>
        </w:rPr>
        <w:t>environmental</w:t>
      </w:r>
      <w:r w:rsidR="004E1C29" w:rsidRPr="00D44766">
        <w:rPr>
          <w:lang w:val="en-GB"/>
        </w:rPr>
        <w:t xml:space="preserve"> and social issues</w:t>
      </w:r>
      <w:r w:rsidR="00D60D25" w:rsidRPr="00D44766">
        <w:rPr>
          <w:lang w:val="en-GB"/>
        </w:rPr>
        <w:t xml:space="preserve">. </w:t>
      </w:r>
      <w:r w:rsidR="004E1C29" w:rsidRPr="00D44766">
        <w:rPr>
          <w:lang w:val="en-GB"/>
        </w:rPr>
        <w:t xml:space="preserve">On a company side, </w:t>
      </w:r>
      <w:r w:rsidR="007D382A" w:rsidRPr="00D44766">
        <w:rPr>
          <w:lang w:val="en-GB"/>
        </w:rPr>
        <w:t>the influence of corporate ethics also come into play</w:t>
      </w:r>
      <w:r w:rsidR="004E1C29" w:rsidRPr="00D44766">
        <w:rPr>
          <w:lang w:val="en-GB"/>
        </w:rPr>
        <w:t xml:space="preserve"> here</w:t>
      </w:r>
      <w:r w:rsidR="007D382A" w:rsidRPr="00D44766">
        <w:rPr>
          <w:lang w:val="en-GB"/>
        </w:rPr>
        <w:t xml:space="preserve"> – as the predominant ethical orientation within the company does fundamentally decide</w:t>
      </w:r>
      <w:r w:rsidR="004E1C29" w:rsidRPr="00D44766">
        <w:rPr>
          <w:lang w:val="en-GB"/>
        </w:rPr>
        <w:t xml:space="preserve"> on</w:t>
      </w:r>
      <w:r w:rsidR="007D382A" w:rsidRPr="00D44766">
        <w:rPr>
          <w:lang w:val="en-GB"/>
        </w:rPr>
        <w:t xml:space="preserve"> the extend that non-mandatory actions are take on top of what needs to be done to still be considered a </w:t>
      </w:r>
      <w:r w:rsidR="00AA538D" w:rsidRPr="00D44766">
        <w:rPr>
          <w:lang w:val="en-GB"/>
        </w:rPr>
        <w:t>good citizen</w:t>
      </w:r>
      <w:r w:rsidR="004E1C29" w:rsidRPr="00D44766">
        <w:rPr>
          <w:lang w:val="en-GB"/>
        </w:rPr>
        <w:t xml:space="preserve"> or which is required by law.</w:t>
      </w:r>
      <w:r w:rsidR="007D382A" w:rsidRPr="00D44766">
        <w:rPr>
          <w:lang w:val="en-GB"/>
        </w:rPr>
        <w:t xml:space="preserve"> </w:t>
      </w:r>
      <w:r w:rsidR="00D60D25" w:rsidRPr="00D44766">
        <w:rPr>
          <w:lang w:val="en-GB"/>
        </w:rPr>
        <w:t xml:space="preserve">Nevertheless, it can also be regarded as the </w:t>
      </w:r>
      <w:r w:rsidR="00A2358C" w:rsidRPr="00D44766">
        <w:rPr>
          <w:lang w:val="en-GB"/>
        </w:rPr>
        <w:t>company’s</w:t>
      </w:r>
      <w:r w:rsidR="00D60D25" w:rsidRPr="00D44766">
        <w:rPr>
          <w:lang w:val="en-GB"/>
        </w:rPr>
        <w:t xml:space="preserve"> responsibility to explain and show the limits to the assumption of responsibility</w:t>
      </w:r>
      <w:r w:rsidR="004E1C29" w:rsidRPr="00D44766">
        <w:rPr>
          <w:lang w:val="en-GB"/>
        </w:rPr>
        <w:t xml:space="preserve"> to the greater society – companies cannot take on all the responsibilities. It does also require an adequate institutional framework. </w:t>
      </w:r>
    </w:p>
    <w:p w14:paraId="5036C87D" w14:textId="5E47A980" w:rsidR="0038287D" w:rsidRPr="00D44766" w:rsidRDefault="0038287D" w:rsidP="002E26E0">
      <w:pPr>
        <w:contextualSpacing/>
        <w:rPr>
          <w:lang w:val="en-GB"/>
        </w:rPr>
      </w:pPr>
      <w:r w:rsidRPr="00D44766">
        <w:rPr>
          <w:lang w:val="en-GB"/>
        </w:rPr>
        <w:t>As above</w:t>
      </w:r>
      <w:r w:rsidR="00E00166" w:rsidRPr="00D44766">
        <w:rPr>
          <w:lang w:val="en-GB"/>
        </w:rPr>
        <w:t xml:space="preserve"> identified CSR does entail official regulatory law but the core of CSR is what is being done over and beyond these</w:t>
      </w:r>
      <w:r w:rsidR="004C017C" w:rsidRPr="00D44766">
        <w:rPr>
          <w:lang w:val="en-GB"/>
        </w:rPr>
        <w:t xml:space="preserve"> laws</w:t>
      </w:r>
      <w:r w:rsidR="00E00166" w:rsidRPr="00D44766">
        <w:rPr>
          <w:lang w:val="en-GB"/>
        </w:rPr>
        <w:t xml:space="preserve"> to take on corporate (social) responsibility. </w:t>
      </w:r>
    </w:p>
    <w:p w14:paraId="56A7340D" w14:textId="0F583478" w:rsidR="00D67E11" w:rsidRPr="00D44766" w:rsidRDefault="00C40FBE" w:rsidP="00AE7689">
      <w:pPr>
        <w:contextualSpacing/>
        <w:rPr>
          <w:lang w:val="en-GB"/>
        </w:rPr>
      </w:pPr>
      <w:r w:rsidRPr="00D44766">
        <w:rPr>
          <w:lang w:val="en-GB"/>
        </w:rPr>
        <w:lastRenderedPageBreak/>
        <w:t xml:space="preserve">Up until now, CSR activities where </w:t>
      </w:r>
      <w:r w:rsidR="00AD179F" w:rsidRPr="00D44766">
        <w:rPr>
          <w:lang w:val="en-GB"/>
        </w:rPr>
        <w:t>largely free of ordering law</w:t>
      </w:r>
      <w:r w:rsidR="00AE7689" w:rsidRPr="00D44766">
        <w:rPr>
          <w:lang w:val="en-GB"/>
        </w:rPr>
        <w:t>. It was more a congregation of recommendations and voluntary commitments. B</w:t>
      </w:r>
      <w:r w:rsidR="00AD179F" w:rsidRPr="00D44766">
        <w:rPr>
          <w:lang w:val="en-GB"/>
        </w:rPr>
        <w:t xml:space="preserve">esides obeying to the corresponding law </w:t>
      </w:r>
      <w:r w:rsidR="00AE7689" w:rsidRPr="00D44766">
        <w:rPr>
          <w:lang w:val="en-GB"/>
        </w:rPr>
        <w:t xml:space="preserve">CSR </w:t>
      </w:r>
      <w:r w:rsidR="00AD179F" w:rsidRPr="00D44766">
        <w:rPr>
          <w:lang w:val="en-GB"/>
        </w:rPr>
        <w:t>actions were up to the discretion of the respective company. As outlined in the chapter above, CSR is often regarded as a strategic business tool to enhance t</w:t>
      </w:r>
      <w:r w:rsidR="004C017C" w:rsidRPr="00D44766">
        <w:rPr>
          <w:lang w:val="en-GB"/>
        </w:rPr>
        <w:t>he</w:t>
      </w:r>
      <w:r w:rsidR="00AD179F" w:rsidRPr="00D44766">
        <w:rPr>
          <w:lang w:val="en-GB"/>
        </w:rPr>
        <w:t xml:space="preserve"> brand image and to influence a positive purchasing decision. </w:t>
      </w:r>
      <w:r w:rsidR="00A2358C" w:rsidRPr="00D44766">
        <w:rPr>
          <w:lang w:val="en-GB"/>
        </w:rPr>
        <w:t>So,</w:t>
      </w:r>
      <w:r w:rsidR="00AD179F" w:rsidRPr="00D44766">
        <w:rPr>
          <w:lang w:val="en-GB"/>
        </w:rPr>
        <w:t xml:space="preserve"> the real altruistic core of why CSR should be implemented can at least be questioned partly</w:t>
      </w:r>
      <w:r w:rsidR="00CE6980">
        <w:rPr>
          <w:lang w:val="en-GB"/>
        </w:rPr>
        <w:t xml:space="preserve"> as also the ISO points out the economic benefits that can be drawn from investing in CSR. Without an institutional framework, </w:t>
      </w:r>
      <w:r w:rsidR="00A2358C" w:rsidRPr="00D44766">
        <w:rPr>
          <w:lang w:val="en-GB"/>
        </w:rPr>
        <w:t>it is</w:t>
      </w:r>
      <w:r w:rsidR="00AD179F" w:rsidRPr="00D44766">
        <w:rPr>
          <w:lang w:val="en-GB"/>
        </w:rPr>
        <w:t xml:space="preserve"> also questionable how well </w:t>
      </w:r>
      <w:r w:rsidR="00AE7689" w:rsidRPr="00D44766">
        <w:rPr>
          <w:lang w:val="en-GB"/>
        </w:rPr>
        <w:t xml:space="preserve">of a </w:t>
      </w:r>
      <w:r w:rsidR="00AD179F" w:rsidRPr="00D44766">
        <w:rPr>
          <w:lang w:val="en-GB"/>
        </w:rPr>
        <w:t>track was kept of the activities</w:t>
      </w:r>
      <w:r w:rsidR="00CE6980">
        <w:rPr>
          <w:lang w:val="en-GB"/>
        </w:rPr>
        <w:t xml:space="preserve"> and how well they were enacted at all. </w:t>
      </w:r>
      <w:r w:rsidR="00C30F05" w:rsidRPr="00D44766">
        <w:rPr>
          <w:lang w:val="en-GB"/>
        </w:rPr>
        <w:t xml:space="preserve">The reports that have been published </w:t>
      </w:r>
      <w:r w:rsidR="00AE7689" w:rsidRPr="00D44766">
        <w:rPr>
          <w:lang w:val="en-GB"/>
        </w:rPr>
        <w:t>thus</w:t>
      </w:r>
      <w:r w:rsidR="00C30F05" w:rsidRPr="00D44766">
        <w:rPr>
          <w:lang w:val="en-GB"/>
        </w:rPr>
        <w:t xml:space="preserve"> far on a voluntary basis </w:t>
      </w:r>
      <w:r w:rsidR="0055162A" w:rsidRPr="00D44766">
        <w:rPr>
          <w:lang w:val="en-GB"/>
        </w:rPr>
        <w:t xml:space="preserve">often include goals but concrete actions how these defined goals are to be reached and what activities are being undertaken </w:t>
      </w:r>
      <w:r w:rsidR="00AE7689" w:rsidRPr="00D44766">
        <w:rPr>
          <w:lang w:val="en-GB"/>
        </w:rPr>
        <w:t>are</w:t>
      </w:r>
      <w:r w:rsidR="0055162A" w:rsidRPr="00D44766">
        <w:rPr>
          <w:lang w:val="en-GB"/>
        </w:rPr>
        <w:t xml:space="preserve"> missing (</w:t>
      </w:r>
      <w:r w:rsidR="0055162A" w:rsidRPr="0050131A">
        <w:rPr>
          <w:color w:val="70AD47" w:themeColor="accent6"/>
          <w:lang w:val="en-GB"/>
        </w:rPr>
        <w:t>Ho</w:t>
      </w:r>
      <w:r w:rsidR="0050131A" w:rsidRPr="0050131A">
        <w:rPr>
          <w:color w:val="70AD47" w:themeColor="accent6"/>
          <w:lang w:val="en-GB"/>
        </w:rPr>
        <w:t>f</w:t>
      </w:r>
      <w:r w:rsidR="0055162A" w:rsidRPr="0050131A">
        <w:rPr>
          <w:color w:val="70AD47" w:themeColor="accent6"/>
          <w:lang w:val="en-GB"/>
        </w:rPr>
        <w:t>fmann</w:t>
      </w:r>
      <w:r w:rsidR="00733803">
        <w:rPr>
          <w:color w:val="70AD47" w:themeColor="accent6"/>
          <w:lang w:val="en-GB"/>
        </w:rPr>
        <w:t xml:space="preserve"> et al.</w:t>
      </w:r>
      <w:r w:rsidR="0050131A" w:rsidRPr="0050131A">
        <w:rPr>
          <w:color w:val="70AD47" w:themeColor="accent6"/>
          <w:lang w:val="en-GB"/>
        </w:rPr>
        <w:t>,</w:t>
      </w:r>
      <w:r w:rsidR="0055162A" w:rsidRPr="0050131A">
        <w:rPr>
          <w:color w:val="70AD47" w:themeColor="accent6"/>
          <w:lang w:val="en-GB"/>
        </w:rPr>
        <w:t xml:space="preserve"> 2022</w:t>
      </w:r>
      <w:r w:rsidR="0055162A" w:rsidRPr="00D44766">
        <w:rPr>
          <w:lang w:val="en-GB"/>
        </w:rPr>
        <w:t xml:space="preserve">). </w:t>
      </w:r>
      <w:r w:rsidR="00AD179F" w:rsidRPr="00D44766">
        <w:rPr>
          <w:lang w:val="en-GB"/>
        </w:rPr>
        <w:t>With the newly enacted Due Diligence Act, there now is a</w:t>
      </w:r>
      <w:r w:rsidR="00797AD2" w:rsidRPr="00D44766">
        <w:rPr>
          <w:lang w:val="en-GB"/>
        </w:rPr>
        <w:t>n</w:t>
      </w:r>
      <w:r w:rsidR="00AD179F" w:rsidRPr="00D44766">
        <w:rPr>
          <w:lang w:val="en-GB"/>
        </w:rPr>
        <w:t xml:space="preserve"> institutional and thus binding framework </w:t>
      </w:r>
      <w:r w:rsidR="00797AD2" w:rsidRPr="00D44766">
        <w:rPr>
          <w:lang w:val="en-GB"/>
        </w:rPr>
        <w:t xml:space="preserve">which companies have to adhere to or risk of getting fined. </w:t>
      </w:r>
      <w:r w:rsidR="0055162A" w:rsidRPr="00D44766">
        <w:rPr>
          <w:lang w:val="en-GB"/>
        </w:rPr>
        <w:t>The reports are seemingly at least partly pre-defined to give a guideline of what needs to be reported</w:t>
      </w:r>
      <w:r w:rsidR="00AE7689" w:rsidRPr="00D44766">
        <w:rPr>
          <w:lang w:val="en-GB"/>
        </w:rPr>
        <w:t xml:space="preserve"> and to also make them partly comparable</w:t>
      </w:r>
      <w:r w:rsidR="0055162A" w:rsidRPr="00D44766">
        <w:rPr>
          <w:lang w:val="en-GB"/>
        </w:rPr>
        <w:t xml:space="preserve">. </w:t>
      </w:r>
      <w:r w:rsidR="00797AD2" w:rsidRPr="00D44766">
        <w:rPr>
          <w:lang w:val="en-GB"/>
        </w:rPr>
        <w:t xml:space="preserve">The now binding law shows, that at a large scale, corporate responsibility was obviously not taken far enough. </w:t>
      </w:r>
      <w:r w:rsidR="00A2358C" w:rsidRPr="00D44766">
        <w:rPr>
          <w:lang w:val="en-GB"/>
        </w:rPr>
        <w:t>So,</w:t>
      </w:r>
      <w:r w:rsidR="00797AD2" w:rsidRPr="00D44766">
        <w:rPr>
          <w:lang w:val="en-GB"/>
        </w:rPr>
        <w:t xml:space="preserve"> legislation took actions into its hand to draft and eventually </w:t>
      </w:r>
      <w:r w:rsidR="00C30F05" w:rsidRPr="00D44766">
        <w:rPr>
          <w:lang w:val="en-GB"/>
        </w:rPr>
        <w:t xml:space="preserve">enact the Due Diligence Act. In this particular case, the market was not regulated by consumers demanding </w:t>
      </w:r>
      <w:r w:rsidR="0082714B" w:rsidRPr="00D44766">
        <w:rPr>
          <w:lang w:val="en-GB"/>
        </w:rPr>
        <w:t xml:space="preserve">more CSR activities and favouring companies with activities in place; but it was also not regulated by the companies themselves – at least not as much as to prevent legislation to act upon the shortcomings. However, the effectiveness of the Due Diligence Act remains to be seen as </w:t>
      </w:r>
      <w:r w:rsidR="00A2358C" w:rsidRPr="00D44766">
        <w:rPr>
          <w:lang w:val="en-GB"/>
        </w:rPr>
        <w:t>it is</w:t>
      </w:r>
      <w:r w:rsidR="0082714B" w:rsidRPr="00D44766">
        <w:rPr>
          <w:lang w:val="en-GB"/>
        </w:rPr>
        <w:t xml:space="preserve"> simply t</w:t>
      </w:r>
      <w:r w:rsidR="00D67E11" w:rsidRPr="00D44766">
        <w:rPr>
          <w:lang w:val="en-GB"/>
        </w:rPr>
        <w:t>o</w:t>
      </w:r>
      <w:r w:rsidR="0082714B" w:rsidRPr="00D44766">
        <w:rPr>
          <w:lang w:val="en-GB"/>
        </w:rPr>
        <w:t xml:space="preserve">o </w:t>
      </w:r>
      <w:r w:rsidR="00D67E11" w:rsidRPr="00D44766">
        <w:rPr>
          <w:lang w:val="en-GB"/>
        </w:rPr>
        <w:t xml:space="preserve">early to </w:t>
      </w:r>
      <w:r w:rsidR="0082714B" w:rsidRPr="00D44766">
        <w:rPr>
          <w:lang w:val="en-GB"/>
        </w:rPr>
        <w:t xml:space="preserve">evaluate it </w:t>
      </w:r>
      <w:r w:rsidR="00D67E11" w:rsidRPr="00D44766">
        <w:rPr>
          <w:lang w:val="en-GB"/>
        </w:rPr>
        <w:t>i</w:t>
      </w:r>
      <w:r w:rsidR="0082714B" w:rsidRPr="00D44766">
        <w:rPr>
          <w:lang w:val="en-GB"/>
        </w:rPr>
        <w:t xml:space="preserve">n the real business environment. </w:t>
      </w:r>
    </w:p>
    <w:p w14:paraId="62CD3E11" w14:textId="69AFA7E3" w:rsidR="00C40FBE" w:rsidRPr="00D44766" w:rsidRDefault="0082714B" w:rsidP="00AE7689">
      <w:pPr>
        <w:contextualSpacing/>
        <w:rPr>
          <w:lang w:val="en-GB"/>
        </w:rPr>
      </w:pPr>
      <w:r w:rsidRPr="00D44766">
        <w:rPr>
          <w:lang w:val="en-GB"/>
        </w:rPr>
        <w:t>Evaluatin</w:t>
      </w:r>
      <w:r w:rsidR="00D67E11" w:rsidRPr="00D44766">
        <w:rPr>
          <w:lang w:val="en-GB"/>
        </w:rPr>
        <w:t>g</w:t>
      </w:r>
      <w:r w:rsidRPr="00D44766">
        <w:rPr>
          <w:lang w:val="en-GB"/>
        </w:rPr>
        <w:t xml:space="preserve"> and concluding from theory – a cautious assessment leaves doubt; the depth of the supply chain which has to be considered, </w:t>
      </w:r>
      <w:r w:rsidR="004C017C" w:rsidRPr="00D44766">
        <w:rPr>
          <w:lang w:val="en-GB"/>
        </w:rPr>
        <w:t xml:space="preserve">the sizes restriction of companies falling under the Act ignores </w:t>
      </w:r>
      <w:r w:rsidR="007F5717" w:rsidRPr="00D44766">
        <w:rPr>
          <w:lang w:val="en-GB"/>
        </w:rPr>
        <w:t xml:space="preserve">countless SME, </w:t>
      </w:r>
      <w:r w:rsidRPr="00D44766">
        <w:rPr>
          <w:lang w:val="en-GB"/>
        </w:rPr>
        <w:t xml:space="preserve">vague open-end definitions on crucial terminology and a passing on of responsibility towards the direct-suppliers are all not far thought of. A further evaluation of the Due Diligence Act in reference to the tourism industry and its potential to induce change will be discussed in the following chapter. </w:t>
      </w:r>
    </w:p>
    <w:p w14:paraId="66AEE3C8" w14:textId="3AAE1031" w:rsidR="00742BE1" w:rsidRPr="00D44766" w:rsidRDefault="00AE26EB" w:rsidP="002E26E0">
      <w:pPr>
        <w:pStyle w:val="berschrift1"/>
        <w:contextualSpacing/>
        <w:rPr>
          <w:lang w:val="en-GB"/>
        </w:rPr>
      </w:pPr>
      <w:bookmarkStart w:id="61" w:name="_Toc143330994"/>
      <w:bookmarkStart w:id="62" w:name="_Toc143361661"/>
      <w:r>
        <w:rPr>
          <w:lang w:val="en-GB"/>
        </w:rPr>
        <w:t>5</w:t>
      </w:r>
      <w:r w:rsidR="00742BE1" w:rsidRPr="00D44766">
        <w:rPr>
          <w:lang w:val="en-GB"/>
        </w:rPr>
        <w:t>. CSR for SME Tour Operators – a chance for change?</w:t>
      </w:r>
      <w:bookmarkEnd w:id="61"/>
      <w:bookmarkEnd w:id="62"/>
    </w:p>
    <w:p w14:paraId="7AA8F5C0" w14:textId="7CC46FB3" w:rsidR="00742BE1" w:rsidRPr="00D44766" w:rsidRDefault="00742BE1" w:rsidP="002E26E0">
      <w:pPr>
        <w:contextualSpacing/>
        <w:rPr>
          <w:lang w:val="en-GB"/>
        </w:rPr>
      </w:pPr>
      <w:r w:rsidRPr="00D44766">
        <w:rPr>
          <w:lang w:val="en-GB"/>
        </w:rPr>
        <w:t xml:space="preserve">This chapter will bring the findings of the three </w:t>
      </w:r>
      <w:r w:rsidR="00AD355B" w:rsidRPr="00D44766">
        <w:rPr>
          <w:lang w:val="en-GB"/>
        </w:rPr>
        <w:t>preceding chapters together to evaluate what chances there are – and if it is a logical step at all – for small and medium sized tour operators to include a CSR strategy into their business plans. It will try to answer the question if the Due Diligence Act is sufficient as is or if SMEs need to take extra action to facilitate change within the industry</w:t>
      </w:r>
      <w:r w:rsidR="00AE639A" w:rsidRPr="00D44766">
        <w:rPr>
          <w:lang w:val="en-GB"/>
        </w:rPr>
        <w:t xml:space="preserve"> and if it </w:t>
      </w:r>
      <w:r w:rsidR="00D83743" w:rsidRPr="00D44766">
        <w:rPr>
          <w:lang w:val="en-GB"/>
        </w:rPr>
        <w:t>will pay out for future business success?</w:t>
      </w:r>
    </w:p>
    <w:p w14:paraId="181A4C2E" w14:textId="3AEE61F3" w:rsidR="004619A1" w:rsidRPr="00D44766" w:rsidRDefault="00AE26EB" w:rsidP="002E26E0">
      <w:pPr>
        <w:pStyle w:val="berschrift2"/>
        <w:contextualSpacing/>
        <w:rPr>
          <w:lang w:val="en-GB"/>
        </w:rPr>
      </w:pPr>
      <w:bookmarkStart w:id="63" w:name="_Toc143330995"/>
      <w:bookmarkStart w:id="64" w:name="_Toc143361662"/>
      <w:r>
        <w:rPr>
          <w:lang w:val="en-GB"/>
        </w:rPr>
        <w:lastRenderedPageBreak/>
        <w:t>5</w:t>
      </w:r>
      <w:r w:rsidR="00CC7E06" w:rsidRPr="00D44766">
        <w:rPr>
          <w:lang w:val="en-GB"/>
        </w:rPr>
        <w:t xml:space="preserve">.1. </w:t>
      </w:r>
      <w:r w:rsidR="004619A1" w:rsidRPr="00D44766">
        <w:rPr>
          <w:lang w:val="en-GB"/>
        </w:rPr>
        <w:t>Does the Due Diligence Act have the potential to facilitate change in the travel &amp; tourism industry?</w:t>
      </w:r>
      <w:bookmarkEnd w:id="63"/>
      <w:bookmarkEnd w:id="64"/>
    </w:p>
    <w:p w14:paraId="076EB860" w14:textId="3EA16295" w:rsidR="006348B3" w:rsidRPr="00D44766" w:rsidRDefault="006348B3" w:rsidP="002E26E0">
      <w:pPr>
        <w:contextualSpacing/>
        <w:rPr>
          <w:rFonts w:cs="Times New Roman"/>
          <w:lang w:val="en-GB"/>
        </w:rPr>
      </w:pPr>
      <w:r w:rsidRPr="00D44766">
        <w:rPr>
          <w:rFonts w:cs="Times New Roman"/>
          <w:lang w:val="en-GB"/>
        </w:rPr>
        <w:t xml:space="preserve">The Due Diligence Act can be seen as a first step of holding </w:t>
      </w:r>
      <w:r w:rsidR="00674B27" w:rsidRPr="00D44766">
        <w:rPr>
          <w:rFonts w:cs="Times New Roman"/>
          <w:lang w:val="en-GB"/>
        </w:rPr>
        <w:t>TOs</w:t>
      </w:r>
      <w:r w:rsidRPr="00D44766">
        <w:rPr>
          <w:rFonts w:cs="Times New Roman"/>
          <w:lang w:val="en-GB"/>
        </w:rPr>
        <w:t xml:space="preserve"> accountable for their </w:t>
      </w:r>
      <w:r w:rsidR="00674B27" w:rsidRPr="00D44766">
        <w:rPr>
          <w:rFonts w:cs="Times New Roman"/>
          <w:lang w:val="en-GB"/>
        </w:rPr>
        <w:t>actions</w:t>
      </w:r>
      <w:r w:rsidR="00EF26A1" w:rsidRPr="00D44766">
        <w:rPr>
          <w:rFonts w:cs="Times New Roman"/>
          <w:lang w:val="en-GB"/>
        </w:rPr>
        <w:t xml:space="preserve"> respectively the </w:t>
      </w:r>
      <w:r w:rsidR="00674B27" w:rsidRPr="00D44766">
        <w:rPr>
          <w:rFonts w:cs="Times New Roman"/>
          <w:lang w:val="en-GB"/>
        </w:rPr>
        <w:t>ignorance of the</w:t>
      </w:r>
      <w:r w:rsidR="00EF26A1" w:rsidRPr="00D44766">
        <w:rPr>
          <w:rFonts w:cs="Times New Roman"/>
          <w:lang w:val="en-GB"/>
        </w:rPr>
        <w:t xml:space="preserve"> consequences of their</w:t>
      </w:r>
      <w:r w:rsidR="00674B27" w:rsidRPr="00D44766">
        <w:rPr>
          <w:rFonts w:cs="Times New Roman"/>
          <w:lang w:val="en-GB"/>
        </w:rPr>
        <w:t xml:space="preserve"> actions </w:t>
      </w:r>
      <w:r w:rsidRPr="00D44766">
        <w:rPr>
          <w:rFonts w:cs="Times New Roman"/>
          <w:lang w:val="en-GB"/>
        </w:rPr>
        <w:t xml:space="preserve">in other countries which is not based on a voluntary </w:t>
      </w:r>
      <w:r w:rsidR="00A2358C" w:rsidRPr="00D44766">
        <w:rPr>
          <w:rFonts w:cs="Times New Roman"/>
          <w:lang w:val="en-GB"/>
        </w:rPr>
        <w:t>activity,</w:t>
      </w:r>
      <w:r w:rsidRPr="00D44766">
        <w:rPr>
          <w:rFonts w:cs="Times New Roman"/>
          <w:lang w:val="en-GB"/>
        </w:rPr>
        <w:t xml:space="preserve"> but which is dictated by law.</w:t>
      </w:r>
      <w:r w:rsidRPr="00D44766">
        <w:rPr>
          <w:rFonts w:ascii="Abadi Extra Light" w:hAnsi="Abadi Extra Light" w:cs="Times New Roman"/>
          <w:lang w:val="en-GB"/>
        </w:rPr>
        <w:t xml:space="preserve"> </w:t>
      </w:r>
      <w:r w:rsidRPr="00D44766">
        <w:rPr>
          <w:rFonts w:cs="Times New Roman"/>
          <w:lang w:val="en-GB"/>
        </w:rPr>
        <w:t xml:space="preserve">With a rising awareness and growing </w:t>
      </w:r>
      <w:r w:rsidR="00A54D93" w:rsidRPr="00D44766">
        <w:rPr>
          <w:rFonts w:cs="Times New Roman"/>
          <w:lang w:val="en-GB"/>
        </w:rPr>
        <w:t>sensitiv</w:t>
      </w:r>
      <w:r w:rsidR="00A54D93">
        <w:rPr>
          <w:rFonts w:cs="Times New Roman"/>
          <w:lang w:val="en-GB"/>
        </w:rPr>
        <w:t>ity</w:t>
      </w:r>
      <w:r w:rsidRPr="00D44766">
        <w:rPr>
          <w:rFonts w:cs="Times New Roman"/>
          <w:lang w:val="en-GB"/>
        </w:rPr>
        <w:t xml:space="preserve"> in the face of natural disasters</w:t>
      </w:r>
      <w:r w:rsidR="00674B27" w:rsidRPr="00D44766">
        <w:rPr>
          <w:rFonts w:cs="Times New Roman"/>
          <w:lang w:val="en-GB"/>
        </w:rPr>
        <w:t xml:space="preserve">, </w:t>
      </w:r>
      <w:r w:rsidRPr="00D44766">
        <w:rPr>
          <w:rFonts w:cs="Times New Roman"/>
          <w:lang w:val="en-GB"/>
        </w:rPr>
        <w:t>climate change</w:t>
      </w:r>
      <w:r w:rsidR="00674B27" w:rsidRPr="00D44766">
        <w:rPr>
          <w:rFonts w:cs="Times New Roman"/>
          <w:lang w:val="en-GB"/>
        </w:rPr>
        <w:t xml:space="preserve"> and human rights violations,</w:t>
      </w:r>
      <w:r w:rsidRPr="00D44766">
        <w:rPr>
          <w:rFonts w:cs="Times New Roman"/>
          <w:lang w:val="en-GB"/>
        </w:rPr>
        <w:t xml:space="preserve"> this seems to be a first step to implement CSR practices into the industry and to force TOs to act more responsible</w:t>
      </w:r>
      <w:r w:rsidR="00B8454F" w:rsidRPr="00D44766">
        <w:rPr>
          <w:rFonts w:cs="Times New Roman"/>
          <w:lang w:val="en-GB"/>
        </w:rPr>
        <w:t xml:space="preserve"> independently of</w:t>
      </w:r>
      <w:r w:rsidR="00EF26A1" w:rsidRPr="00D44766">
        <w:rPr>
          <w:rFonts w:cs="Times New Roman"/>
          <w:lang w:val="en-GB"/>
        </w:rPr>
        <w:t xml:space="preserve"> voluntary actions or</w:t>
      </w:r>
      <w:r w:rsidR="00B8454F" w:rsidRPr="00D44766">
        <w:rPr>
          <w:rFonts w:cs="Times New Roman"/>
          <w:lang w:val="en-GB"/>
        </w:rPr>
        <w:t xml:space="preserve"> the </w:t>
      </w:r>
      <w:r w:rsidR="004613E6" w:rsidRPr="00D44766">
        <w:rPr>
          <w:rFonts w:cs="Times New Roman"/>
          <w:lang w:val="en-GB"/>
        </w:rPr>
        <w:t>demand of clients – wh</w:t>
      </w:r>
      <w:r w:rsidR="00A54D93">
        <w:rPr>
          <w:rFonts w:cs="Times New Roman"/>
          <w:lang w:val="en-GB"/>
        </w:rPr>
        <w:t xml:space="preserve">o </w:t>
      </w:r>
      <w:r w:rsidR="004613E6" w:rsidRPr="00D44766">
        <w:rPr>
          <w:rFonts w:cs="Times New Roman"/>
          <w:lang w:val="en-GB"/>
        </w:rPr>
        <w:t xml:space="preserve">often decide on </w:t>
      </w:r>
      <w:r w:rsidR="00AA538D" w:rsidRPr="00D44766">
        <w:rPr>
          <w:rFonts w:cs="Times New Roman"/>
          <w:lang w:val="en-GB"/>
        </w:rPr>
        <w:t>what</w:t>
      </w:r>
      <w:r w:rsidR="004613E6" w:rsidRPr="00D44766">
        <w:rPr>
          <w:rFonts w:cs="Times New Roman"/>
          <w:lang w:val="en-GB"/>
        </w:rPr>
        <w:t xml:space="preserve"> is being offered on the market and do grant the licence to operate to companies. However, in this particular case, the voluntary actions and the </w:t>
      </w:r>
      <w:r w:rsidR="00EF26A1" w:rsidRPr="00D44766">
        <w:rPr>
          <w:rFonts w:cs="Times New Roman"/>
          <w:lang w:val="en-GB"/>
        </w:rPr>
        <w:t xml:space="preserve">little to </w:t>
      </w:r>
      <w:r w:rsidR="004613E6" w:rsidRPr="00D44766">
        <w:rPr>
          <w:rFonts w:cs="Times New Roman"/>
          <w:lang w:val="en-GB"/>
        </w:rPr>
        <w:t xml:space="preserve">non-existing demand from client side did call legislation into action and the result was the enactment of the Due Diligence Act. </w:t>
      </w:r>
      <w:r w:rsidR="0025420F" w:rsidRPr="00D44766">
        <w:rPr>
          <w:rFonts w:cs="Times New Roman"/>
          <w:lang w:val="en-GB"/>
        </w:rPr>
        <w:t>In the proceeding chapters, a few potential short comings of the Act have already been mentioned.</w:t>
      </w:r>
      <w:r w:rsidR="00FF2C8C">
        <w:rPr>
          <w:rFonts w:cs="Times New Roman"/>
          <w:lang w:val="en-GB"/>
        </w:rPr>
        <w:t xml:space="preserve"> Since the Act does not have his origins in the tourism industry, there are some challenges. </w:t>
      </w:r>
      <w:r w:rsidR="0025420F" w:rsidRPr="00D44766">
        <w:rPr>
          <w:rFonts w:cs="Times New Roman"/>
          <w:lang w:val="en-GB"/>
        </w:rPr>
        <w:t xml:space="preserve">Especially, the definition of the actual supply chain and </w:t>
      </w:r>
      <w:r w:rsidR="00FF2C8C">
        <w:rPr>
          <w:rFonts w:cs="Times New Roman"/>
          <w:lang w:val="en-GB"/>
        </w:rPr>
        <w:t xml:space="preserve">the definition of </w:t>
      </w:r>
      <w:r w:rsidR="0025420F" w:rsidRPr="00D44766">
        <w:rPr>
          <w:rFonts w:cs="Times New Roman"/>
          <w:lang w:val="en-GB"/>
        </w:rPr>
        <w:t>which services are actually considered to be part of the core-travel service</w:t>
      </w:r>
      <w:r w:rsidR="00674B27" w:rsidRPr="00D44766">
        <w:rPr>
          <w:rFonts w:cs="Times New Roman"/>
          <w:lang w:val="en-GB"/>
        </w:rPr>
        <w:t xml:space="preserve"> can be a challenge</w:t>
      </w:r>
      <w:r w:rsidR="0025420F" w:rsidRPr="00D44766">
        <w:rPr>
          <w:rFonts w:cs="Times New Roman"/>
          <w:lang w:val="en-GB"/>
        </w:rPr>
        <w:t xml:space="preserve">. </w:t>
      </w:r>
      <w:r w:rsidR="00077557" w:rsidRPr="00D44766">
        <w:rPr>
          <w:rFonts w:cs="Times New Roman"/>
          <w:lang w:val="en-GB"/>
        </w:rPr>
        <w:t>If a packaged- holiday is being booked, then obviously transfer from the airport to the hotel and vice-versa can be considered as part of the core travel service</w:t>
      </w:r>
      <w:r w:rsidR="00674B27" w:rsidRPr="00D44766">
        <w:rPr>
          <w:rFonts w:cs="Times New Roman"/>
          <w:lang w:val="en-GB"/>
        </w:rPr>
        <w:t xml:space="preserve"> as well as the accommodation</w:t>
      </w:r>
      <w:r w:rsidR="00077557" w:rsidRPr="00D44766">
        <w:rPr>
          <w:rFonts w:cs="Times New Roman"/>
          <w:lang w:val="en-GB"/>
        </w:rPr>
        <w:t xml:space="preserve">. However, if the pre-booked hotel has a display for various activity offerings by third parties – then this would rather not be considered as part of the direct travel service. However, if the hotel does actively promote and even gets a commission for the booking of </w:t>
      </w:r>
      <w:r w:rsidR="00A2358C" w:rsidRPr="00D44766">
        <w:rPr>
          <w:rFonts w:cs="Times New Roman"/>
          <w:lang w:val="en-GB"/>
        </w:rPr>
        <w:t>third-party</w:t>
      </w:r>
      <w:r w:rsidR="00077557" w:rsidRPr="00D44766">
        <w:rPr>
          <w:rFonts w:cs="Times New Roman"/>
          <w:lang w:val="en-GB"/>
        </w:rPr>
        <w:t xml:space="preserve"> activities then in turn it can be considered as part of the initial travel service which equally means the third-party does belong to the indirect suppliers</w:t>
      </w:r>
      <w:r w:rsidR="00EF26A1" w:rsidRPr="00D44766">
        <w:rPr>
          <w:rFonts w:cs="Times New Roman"/>
          <w:lang w:val="en-GB"/>
        </w:rPr>
        <w:t xml:space="preserve"> (</w:t>
      </w:r>
      <w:r w:rsidR="00EF26A1" w:rsidRPr="0050131A">
        <w:rPr>
          <w:rFonts w:cs="Times New Roman"/>
          <w:color w:val="70AD47" w:themeColor="accent6"/>
          <w:lang w:val="en-GB"/>
        </w:rPr>
        <w:t>ECPAT</w:t>
      </w:r>
      <w:r w:rsidR="0050131A" w:rsidRPr="0050131A">
        <w:rPr>
          <w:rFonts w:cs="Times New Roman"/>
          <w:color w:val="70AD47" w:themeColor="accent6"/>
          <w:lang w:val="en-GB"/>
        </w:rPr>
        <w:t xml:space="preserve"> International</w:t>
      </w:r>
      <w:r w:rsidR="00EF26A1" w:rsidRPr="0050131A">
        <w:rPr>
          <w:rFonts w:cs="Times New Roman"/>
          <w:color w:val="70AD47" w:themeColor="accent6"/>
          <w:lang w:val="en-GB"/>
        </w:rPr>
        <w:t>, 2022</w:t>
      </w:r>
      <w:r w:rsidR="00EF26A1" w:rsidRPr="00D44766">
        <w:rPr>
          <w:rFonts w:cs="Times New Roman"/>
          <w:lang w:val="en-GB"/>
        </w:rPr>
        <w:t>)</w:t>
      </w:r>
      <w:r w:rsidR="00077557" w:rsidRPr="00D44766">
        <w:rPr>
          <w:rFonts w:cs="Times New Roman"/>
          <w:lang w:val="en-GB"/>
        </w:rPr>
        <w:t xml:space="preserve">. It could also be an option that the TO </w:t>
      </w:r>
      <w:r w:rsidR="00AA538D" w:rsidRPr="00D44766">
        <w:rPr>
          <w:rFonts w:cs="Times New Roman"/>
          <w:lang w:val="en-GB"/>
        </w:rPr>
        <w:t>pre-book</w:t>
      </w:r>
      <w:r w:rsidR="00077557" w:rsidRPr="00D44766">
        <w:rPr>
          <w:rFonts w:cs="Times New Roman"/>
          <w:lang w:val="en-GB"/>
        </w:rPr>
        <w:t xml:space="preserve"> these activities directly with the third-party</w:t>
      </w:r>
      <w:r w:rsidR="00674B27" w:rsidRPr="00D44766">
        <w:rPr>
          <w:rFonts w:cs="Times New Roman"/>
          <w:lang w:val="en-GB"/>
        </w:rPr>
        <w:t xml:space="preserve"> and included those into the travel contract</w:t>
      </w:r>
      <w:r w:rsidR="00077557" w:rsidRPr="00D44766">
        <w:rPr>
          <w:rFonts w:cs="Times New Roman"/>
          <w:lang w:val="en-GB"/>
        </w:rPr>
        <w:t xml:space="preserve">, which would make the third party a direct supplier to the TO with all the obligations that have to be fulfilled under the Due Diligence Act. </w:t>
      </w:r>
      <w:r w:rsidR="00674B27" w:rsidRPr="00D44766">
        <w:rPr>
          <w:rFonts w:cs="Times New Roman"/>
          <w:lang w:val="en-GB"/>
        </w:rPr>
        <w:t>Circling back and r</w:t>
      </w:r>
      <w:r w:rsidR="00477EEE" w:rsidRPr="00D44766">
        <w:rPr>
          <w:rFonts w:cs="Times New Roman"/>
          <w:lang w:val="en-GB"/>
        </w:rPr>
        <w:t xml:space="preserve">eviewing the tourism system and contractual obligations, there are two predominant ways bookings are being placed – via a DMC; </w:t>
      </w:r>
      <w:r w:rsidR="00EF26A1" w:rsidRPr="00D44766">
        <w:rPr>
          <w:rFonts w:cs="Times New Roman"/>
          <w:lang w:val="en-GB"/>
        </w:rPr>
        <w:t>in this case this w</w:t>
      </w:r>
      <w:r w:rsidR="00477EEE" w:rsidRPr="00D44766">
        <w:rPr>
          <w:rFonts w:cs="Times New Roman"/>
          <w:lang w:val="en-GB"/>
        </w:rPr>
        <w:t>ould be the only contractual obligation for the TO</w:t>
      </w:r>
      <w:r w:rsidR="00674B27" w:rsidRPr="00D44766">
        <w:rPr>
          <w:rFonts w:cs="Times New Roman"/>
          <w:lang w:val="en-GB"/>
        </w:rPr>
        <w:t>. Alter</w:t>
      </w:r>
      <w:r w:rsidR="00FE5AB7" w:rsidRPr="00D44766">
        <w:rPr>
          <w:rFonts w:cs="Times New Roman"/>
          <w:lang w:val="en-GB"/>
        </w:rPr>
        <w:t>n</w:t>
      </w:r>
      <w:r w:rsidR="00674B27" w:rsidRPr="00D44766">
        <w:rPr>
          <w:rFonts w:cs="Times New Roman"/>
          <w:lang w:val="en-GB"/>
        </w:rPr>
        <w:t xml:space="preserve">atively, </w:t>
      </w:r>
      <w:r w:rsidR="00477EEE" w:rsidRPr="00D44766">
        <w:rPr>
          <w:rFonts w:cs="Times New Roman"/>
          <w:lang w:val="en-GB"/>
        </w:rPr>
        <w:t>the booking is place</w:t>
      </w:r>
      <w:r w:rsidR="00674B27" w:rsidRPr="00D44766">
        <w:rPr>
          <w:rFonts w:cs="Times New Roman"/>
          <w:lang w:val="en-GB"/>
        </w:rPr>
        <w:t>d</w:t>
      </w:r>
      <w:r w:rsidR="00477EEE" w:rsidRPr="00D44766">
        <w:rPr>
          <w:rFonts w:cs="Times New Roman"/>
          <w:lang w:val="en-GB"/>
        </w:rPr>
        <w:t xml:space="preserve"> with the individual suppliers; like the hotel directly and then maybe also a DMC for the ground service; which would obviously </w:t>
      </w:r>
      <w:r w:rsidR="00674B27" w:rsidRPr="00D44766">
        <w:rPr>
          <w:rFonts w:cs="Times New Roman"/>
          <w:lang w:val="en-GB"/>
        </w:rPr>
        <w:t xml:space="preserve">already </w:t>
      </w:r>
      <w:r w:rsidR="00477EEE" w:rsidRPr="00D44766">
        <w:rPr>
          <w:rFonts w:cs="Times New Roman"/>
          <w:lang w:val="en-GB"/>
        </w:rPr>
        <w:t>double the number of contractual relationships for the TO translating into two direct suppliers rather than only one with the DMC-booking way. So hypothetically</w:t>
      </w:r>
      <w:r w:rsidR="00864715" w:rsidRPr="00D44766">
        <w:rPr>
          <w:rFonts w:cs="Times New Roman"/>
          <w:lang w:val="en-GB"/>
        </w:rPr>
        <w:t>,</w:t>
      </w:r>
      <w:r w:rsidR="00477EEE" w:rsidRPr="00D44766">
        <w:rPr>
          <w:rFonts w:cs="Times New Roman"/>
          <w:lang w:val="en-GB"/>
        </w:rPr>
        <w:t xml:space="preserve"> there is a chance, that supply chains</w:t>
      </w:r>
      <w:r w:rsidR="00864715" w:rsidRPr="00D44766">
        <w:rPr>
          <w:rFonts w:cs="Times New Roman"/>
          <w:lang w:val="en-GB"/>
        </w:rPr>
        <w:t xml:space="preserve"> </w:t>
      </w:r>
      <w:r w:rsidR="00674B27" w:rsidRPr="00D44766">
        <w:rPr>
          <w:rFonts w:cs="Times New Roman"/>
          <w:lang w:val="en-GB"/>
        </w:rPr>
        <w:t xml:space="preserve">will change </w:t>
      </w:r>
      <w:r w:rsidR="00864715" w:rsidRPr="00D44766">
        <w:rPr>
          <w:rFonts w:cs="Times New Roman"/>
          <w:lang w:val="en-GB"/>
        </w:rPr>
        <w:t>in order for TOs to reduce their number of direct supplier and thus equally, shift responsibility towards the DMCs via contractual agreements</w:t>
      </w:r>
      <w:r w:rsidR="00674B27" w:rsidRPr="00D44766">
        <w:rPr>
          <w:rFonts w:cs="Times New Roman"/>
          <w:lang w:val="en-GB"/>
        </w:rPr>
        <w:t xml:space="preserve"> to monitor their suppliers in turn</w:t>
      </w:r>
      <w:r w:rsidR="00864715" w:rsidRPr="00D44766">
        <w:rPr>
          <w:rFonts w:cs="Times New Roman"/>
          <w:lang w:val="en-GB"/>
        </w:rPr>
        <w:t xml:space="preserve">. For more </w:t>
      </w:r>
      <w:r w:rsidR="00A2358C" w:rsidRPr="00D44766">
        <w:rPr>
          <w:rFonts w:cs="Times New Roman"/>
          <w:lang w:val="en-GB"/>
        </w:rPr>
        <w:t>mass focused</w:t>
      </w:r>
      <w:r w:rsidR="00864715" w:rsidRPr="00D44766">
        <w:rPr>
          <w:rFonts w:cs="Times New Roman"/>
          <w:lang w:val="en-GB"/>
        </w:rPr>
        <w:t xml:space="preserve"> TOs, like the </w:t>
      </w:r>
      <w:r w:rsidR="00864715" w:rsidRPr="00D44766">
        <w:rPr>
          <w:rFonts w:cs="Times New Roman"/>
          <w:lang w:val="en-GB"/>
        </w:rPr>
        <w:lastRenderedPageBreak/>
        <w:t xml:space="preserve">three big TOs, it could actually be reasonably to reduce </w:t>
      </w:r>
      <w:r w:rsidR="00674B27" w:rsidRPr="00D44766">
        <w:rPr>
          <w:rFonts w:cs="Times New Roman"/>
          <w:lang w:val="en-GB"/>
        </w:rPr>
        <w:t xml:space="preserve">the </w:t>
      </w:r>
      <w:r w:rsidR="00864715" w:rsidRPr="00D44766">
        <w:rPr>
          <w:rFonts w:cs="Times New Roman"/>
          <w:lang w:val="en-GB"/>
        </w:rPr>
        <w:t xml:space="preserve">number of </w:t>
      </w:r>
      <w:r w:rsidR="004742F2" w:rsidRPr="00D44766">
        <w:rPr>
          <w:rFonts w:cs="Times New Roman"/>
          <w:lang w:val="en-GB"/>
        </w:rPr>
        <w:t xml:space="preserve">direct </w:t>
      </w:r>
      <w:r w:rsidR="00864715" w:rsidRPr="00D44766">
        <w:rPr>
          <w:rFonts w:cs="Times New Roman"/>
          <w:lang w:val="en-GB"/>
        </w:rPr>
        <w:t>supplier</w:t>
      </w:r>
      <w:r w:rsidR="004742F2" w:rsidRPr="00D44766">
        <w:rPr>
          <w:rFonts w:cs="Times New Roman"/>
          <w:lang w:val="en-GB"/>
        </w:rPr>
        <w:t>s</w:t>
      </w:r>
      <w:r w:rsidR="00864715" w:rsidRPr="00D44766">
        <w:rPr>
          <w:rFonts w:cs="Times New Roman"/>
          <w:lang w:val="en-GB"/>
        </w:rPr>
        <w:t xml:space="preserve"> in order to reduce the amount of investment to adhere to the obligations under the Due Diligence Act</w:t>
      </w:r>
      <w:r w:rsidR="005B22A0" w:rsidRPr="00D44766">
        <w:rPr>
          <w:rFonts w:cs="Times New Roman"/>
          <w:lang w:val="en-GB"/>
        </w:rPr>
        <w:t xml:space="preserve">. As </w:t>
      </w:r>
      <w:r w:rsidR="005B22A0" w:rsidRPr="0050131A">
        <w:rPr>
          <w:rFonts w:cs="Times New Roman"/>
          <w:color w:val="70AD47" w:themeColor="accent6"/>
          <w:lang w:val="en-GB"/>
        </w:rPr>
        <w:t>Münck (2022</w:t>
      </w:r>
      <w:r w:rsidR="005B22A0" w:rsidRPr="00D44766">
        <w:rPr>
          <w:rFonts w:cs="Times New Roman"/>
          <w:lang w:val="en-GB"/>
        </w:rPr>
        <w:t xml:space="preserve">) suggest, knowing the supplier personally, setting up regular audit and control activities does take a lot of time and is often hardly implementable – especially in times of labour shortage in the industry. An alternative could be self-assessments – but they always leave room for </w:t>
      </w:r>
      <w:r w:rsidR="000F65FF" w:rsidRPr="00D44766">
        <w:rPr>
          <w:rFonts w:cs="Times New Roman"/>
          <w:lang w:val="en-GB"/>
        </w:rPr>
        <w:t>embellishments and omissions. If a reduction of suppliers would happen to only include DMCs, this deve</w:t>
      </w:r>
      <w:r w:rsidR="004742F2" w:rsidRPr="00D44766">
        <w:rPr>
          <w:rFonts w:cs="Times New Roman"/>
          <w:lang w:val="en-GB"/>
        </w:rPr>
        <w:t xml:space="preserve">lopment would mean more power for the DMCs in their respective markets over the individual </w:t>
      </w:r>
      <w:r w:rsidR="00A2358C" w:rsidRPr="00D44766">
        <w:rPr>
          <w:rFonts w:cs="Times New Roman"/>
          <w:lang w:val="en-GB"/>
        </w:rPr>
        <w:t>third-party</w:t>
      </w:r>
      <w:r w:rsidR="004742F2" w:rsidRPr="00D44766">
        <w:rPr>
          <w:rFonts w:cs="Times New Roman"/>
          <w:lang w:val="en-GB"/>
        </w:rPr>
        <w:t xml:space="preserve"> suppliers. By proxy – as DMCs do have to fulfil their contractual obligations towards the TOs, theoretically they would have the power to push through the respective standards the Due Diligence Act forces the TOs to adhere to and thus, favour and push </w:t>
      </w:r>
      <w:r w:rsidR="00EF26A1" w:rsidRPr="00D44766">
        <w:rPr>
          <w:rFonts w:cs="Times New Roman"/>
          <w:lang w:val="en-GB"/>
        </w:rPr>
        <w:t xml:space="preserve">third-party </w:t>
      </w:r>
      <w:r w:rsidR="004742F2" w:rsidRPr="00D44766">
        <w:rPr>
          <w:rFonts w:cs="Times New Roman"/>
          <w:lang w:val="en-GB"/>
        </w:rPr>
        <w:t xml:space="preserve">partner </w:t>
      </w:r>
      <w:r w:rsidR="00EF26A1" w:rsidRPr="00D44766">
        <w:rPr>
          <w:rFonts w:cs="Times New Roman"/>
          <w:lang w:val="en-GB"/>
        </w:rPr>
        <w:t>who</w:t>
      </w:r>
      <w:r w:rsidR="004742F2" w:rsidRPr="00D44766">
        <w:rPr>
          <w:rFonts w:cs="Times New Roman"/>
          <w:lang w:val="en-GB"/>
        </w:rPr>
        <w:t xml:space="preserve"> are good corporate citizens in their respective destinations</w:t>
      </w:r>
      <w:r w:rsidR="00674B27" w:rsidRPr="00D44766">
        <w:rPr>
          <w:rFonts w:cs="Times New Roman"/>
          <w:lang w:val="en-GB"/>
        </w:rPr>
        <w:t xml:space="preserve"> themselves and adhere to certain standards</w:t>
      </w:r>
      <w:r w:rsidR="004742F2" w:rsidRPr="00D44766">
        <w:rPr>
          <w:rFonts w:cs="Times New Roman"/>
          <w:lang w:val="en-GB"/>
        </w:rPr>
        <w:t xml:space="preserve">. However, this buying power can also turn the other way and open up room to negotiate even cheaper rates (for hotels, guides etc). With the travel and tourism industry overall still being very price driven, this </w:t>
      </w:r>
      <w:r w:rsidR="00B952D9" w:rsidRPr="00D44766">
        <w:rPr>
          <w:rFonts w:cs="Times New Roman"/>
          <w:lang w:val="en-GB"/>
        </w:rPr>
        <w:t xml:space="preserve">potential change in buying power </w:t>
      </w:r>
      <w:r w:rsidR="004742F2" w:rsidRPr="00D44766">
        <w:rPr>
          <w:rFonts w:cs="Times New Roman"/>
          <w:lang w:val="en-GB"/>
        </w:rPr>
        <w:t xml:space="preserve">has to be carefully considered and remedy </w:t>
      </w:r>
      <w:r w:rsidR="00B952D9" w:rsidRPr="00D44766">
        <w:rPr>
          <w:rFonts w:cs="Times New Roman"/>
          <w:lang w:val="en-GB"/>
        </w:rPr>
        <w:t xml:space="preserve">needs </w:t>
      </w:r>
      <w:r w:rsidR="004742F2" w:rsidRPr="00D44766">
        <w:rPr>
          <w:rFonts w:cs="Times New Roman"/>
          <w:lang w:val="en-GB"/>
        </w:rPr>
        <w:t xml:space="preserve">to be provided as this would in essence also go against the Due Diligence Act. However, with the </w:t>
      </w:r>
      <w:r w:rsidR="00EC7124" w:rsidRPr="00D44766">
        <w:rPr>
          <w:rFonts w:cs="Times New Roman"/>
          <w:lang w:val="en-GB"/>
        </w:rPr>
        <w:t>burden of proof lying be the aggrieved party the question arises in how far the TOs will at all be held liable within its country of origin.</w:t>
      </w:r>
    </w:p>
    <w:p w14:paraId="733FEA1B" w14:textId="5C429149" w:rsidR="00135871" w:rsidRPr="00D44766" w:rsidRDefault="00EC7124" w:rsidP="002E26E0">
      <w:pPr>
        <w:contextualSpacing/>
        <w:rPr>
          <w:rFonts w:cs="Times New Roman"/>
          <w:lang w:val="en-GB"/>
        </w:rPr>
      </w:pPr>
      <w:r w:rsidRPr="00D44766">
        <w:rPr>
          <w:rFonts w:cs="Times New Roman"/>
          <w:lang w:val="en-GB"/>
        </w:rPr>
        <w:t xml:space="preserve">Nevertheless, </w:t>
      </w:r>
      <w:r w:rsidR="00B952D9" w:rsidRPr="00D44766">
        <w:rPr>
          <w:rFonts w:cs="Times New Roman"/>
          <w:lang w:val="en-GB"/>
        </w:rPr>
        <w:t xml:space="preserve">considering the first option of DMCs becoming the major partner and contracts are being drafted to include the corresponding passages necessary </w:t>
      </w:r>
      <w:r w:rsidRPr="00D44766">
        <w:rPr>
          <w:rFonts w:cs="Times New Roman"/>
          <w:lang w:val="en-GB"/>
        </w:rPr>
        <w:t xml:space="preserve">under the Due Diligence Act, </w:t>
      </w:r>
      <w:r w:rsidR="00A2358C" w:rsidRPr="00D44766">
        <w:rPr>
          <w:rFonts w:cs="Times New Roman"/>
          <w:lang w:val="en-GB"/>
        </w:rPr>
        <w:t>it is</w:t>
      </w:r>
      <w:r w:rsidRPr="00D44766">
        <w:rPr>
          <w:rFonts w:cs="Times New Roman"/>
          <w:lang w:val="en-GB"/>
        </w:rPr>
        <w:t xml:space="preserve"> highly likely that there will be a </w:t>
      </w:r>
      <w:r w:rsidR="00C50EBA" w:rsidRPr="00D44766">
        <w:rPr>
          <w:rFonts w:cs="Times New Roman"/>
          <w:lang w:val="en-GB"/>
        </w:rPr>
        <w:t>trickle-down</w:t>
      </w:r>
      <w:r w:rsidRPr="00D44766">
        <w:rPr>
          <w:rFonts w:cs="Times New Roman"/>
          <w:lang w:val="en-GB"/>
        </w:rPr>
        <w:t xml:space="preserve"> </w:t>
      </w:r>
      <w:r w:rsidR="00135871" w:rsidRPr="00D44766">
        <w:rPr>
          <w:rFonts w:cs="Times New Roman"/>
          <w:lang w:val="en-GB"/>
        </w:rPr>
        <w:t>e</w:t>
      </w:r>
      <w:r w:rsidRPr="00D44766">
        <w:rPr>
          <w:rFonts w:cs="Times New Roman"/>
          <w:lang w:val="en-GB"/>
        </w:rPr>
        <w:t xml:space="preserve">ffect. DMCs usually </w:t>
      </w:r>
      <w:r w:rsidR="00A2358C" w:rsidRPr="00D44766">
        <w:rPr>
          <w:rFonts w:cs="Times New Roman"/>
          <w:lang w:val="en-GB"/>
        </w:rPr>
        <w:t>do not</w:t>
      </w:r>
      <w:r w:rsidRPr="00D44766">
        <w:rPr>
          <w:rFonts w:cs="Times New Roman"/>
          <w:lang w:val="en-GB"/>
        </w:rPr>
        <w:t xml:space="preserve"> only work with one TO partner but with multiple </w:t>
      </w:r>
      <w:r w:rsidR="00A2358C" w:rsidRPr="00D44766">
        <w:rPr>
          <w:rFonts w:cs="Times New Roman"/>
          <w:lang w:val="en-GB"/>
        </w:rPr>
        <w:t>partners</w:t>
      </w:r>
      <w:r w:rsidRPr="00D44766">
        <w:rPr>
          <w:rFonts w:cs="Times New Roman"/>
          <w:lang w:val="en-GB"/>
        </w:rPr>
        <w:t xml:space="preserve"> from all over the world and the </w:t>
      </w:r>
      <w:r w:rsidR="00D1399D" w:rsidRPr="00D44766">
        <w:rPr>
          <w:rFonts w:cs="Times New Roman"/>
          <w:lang w:val="en-GB"/>
        </w:rPr>
        <w:t>amendments</w:t>
      </w:r>
      <w:r w:rsidRPr="00D44766">
        <w:rPr>
          <w:rFonts w:cs="Times New Roman"/>
          <w:lang w:val="en-GB"/>
        </w:rPr>
        <w:t xml:space="preserve"> made under the Due Diligence Act will subsequently also </w:t>
      </w:r>
      <w:r w:rsidR="00B952D9" w:rsidRPr="00D44766">
        <w:rPr>
          <w:rFonts w:cs="Times New Roman"/>
          <w:lang w:val="en-GB"/>
        </w:rPr>
        <w:t xml:space="preserve">be </w:t>
      </w:r>
      <w:r w:rsidRPr="00D44766">
        <w:rPr>
          <w:rFonts w:cs="Times New Roman"/>
          <w:lang w:val="en-GB"/>
        </w:rPr>
        <w:t xml:space="preserve">passed on to other TOs. </w:t>
      </w:r>
      <w:r w:rsidR="00D1399D" w:rsidRPr="00D44766">
        <w:rPr>
          <w:rFonts w:cs="Times New Roman"/>
          <w:lang w:val="en-GB"/>
        </w:rPr>
        <w:t xml:space="preserve">The same will hold true for hotel contracts – once the Due Diligence clauses are included </w:t>
      </w:r>
      <w:r w:rsidR="00A2358C" w:rsidRPr="00D44766">
        <w:rPr>
          <w:rFonts w:cs="Times New Roman"/>
          <w:lang w:val="en-GB"/>
        </w:rPr>
        <w:t>it is</w:t>
      </w:r>
      <w:r w:rsidR="00D1399D" w:rsidRPr="00D44766">
        <w:rPr>
          <w:rFonts w:cs="Times New Roman"/>
          <w:lang w:val="en-GB"/>
        </w:rPr>
        <w:t xml:space="preserve"> highly unlikely that hotels or DMCs for that matter will draft other contracts without the clauses. There also is the case that </w:t>
      </w:r>
      <w:r w:rsidR="00A2358C" w:rsidRPr="00D44766">
        <w:rPr>
          <w:rFonts w:cs="Times New Roman"/>
          <w:lang w:val="en-GB"/>
        </w:rPr>
        <w:t>it is</w:t>
      </w:r>
      <w:r w:rsidR="00D1399D" w:rsidRPr="00D44766">
        <w:rPr>
          <w:rFonts w:cs="Times New Roman"/>
          <w:lang w:val="en-GB"/>
        </w:rPr>
        <w:t xml:space="preserve"> actually the DMCs signing the TO contracts – which would mean that the trickle-down effect would not happen in this case. However, as certain business processes will have to be checked and potentially be changed then these changes will also </w:t>
      </w:r>
      <w:r w:rsidR="00A2358C" w:rsidRPr="00D44766">
        <w:rPr>
          <w:rFonts w:cs="Times New Roman"/>
          <w:lang w:val="en-GB"/>
        </w:rPr>
        <w:t>affect</w:t>
      </w:r>
      <w:r w:rsidR="00D1399D" w:rsidRPr="00D44766">
        <w:rPr>
          <w:rFonts w:cs="Times New Roman"/>
          <w:lang w:val="en-GB"/>
        </w:rPr>
        <w:t xml:space="preserve"> other TOs – s</w:t>
      </w:r>
      <w:r w:rsidR="00AF1EED" w:rsidRPr="00D44766">
        <w:rPr>
          <w:rFonts w:cs="Times New Roman"/>
          <w:lang w:val="en-GB"/>
        </w:rPr>
        <w:t>o th</w:t>
      </w:r>
      <w:r w:rsidR="00B952D9" w:rsidRPr="00D44766">
        <w:rPr>
          <w:rFonts w:cs="Times New Roman"/>
          <w:lang w:val="en-GB"/>
        </w:rPr>
        <w:t>en</w:t>
      </w:r>
      <w:r w:rsidR="00AF1EED" w:rsidRPr="00D44766">
        <w:rPr>
          <w:rFonts w:cs="Times New Roman"/>
          <w:lang w:val="en-GB"/>
        </w:rPr>
        <w:t xml:space="preserve"> again there will be a trickle-down effect even tough that is not of a contractual nature. </w:t>
      </w:r>
      <w:r w:rsidR="00135871" w:rsidRPr="00D44766">
        <w:rPr>
          <w:rFonts w:cs="Times New Roman"/>
          <w:lang w:val="en-GB"/>
        </w:rPr>
        <w:t xml:space="preserve">It still remains to be seen how all the obligations are being incorporates respectively, what the reporting will look like and what weakness will be revealed throughout the first implementation and reporting period. </w:t>
      </w:r>
    </w:p>
    <w:p w14:paraId="20920711" w14:textId="3A7342F5" w:rsidR="00C50EBA" w:rsidRPr="00D44766" w:rsidRDefault="00B952D9" w:rsidP="002E26E0">
      <w:pPr>
        <w:contextualSpacing/>
        <w:rPr>
          <w:rFonts w:cs="Times New Roman"/>
          <w:lang w:val="en-GB"/>
        </w:rPr>
      </w:pPr>
      <w:r w:rsidRPr="00D44766">
        <w:rPr>
          <w:rFonts w:cs="Times New Roman"/>
          <w:lang w:val="en-GB"/>
        </w:rPr>
        <w:t>T</w:t>
      </w:r>
      <w:r w:rsidR="00C50EBA" w:rsidRPr="00D44766">
        <w:rPr>
          <w:rFonts w:cs="Times New Roman"/>
          <w:lang w:val="en-GB"/>
        </w:rPr>
        <w:t xml:space="preserve">he current Due Diligence Act is limited to companies with 3000 respectively 1000 employees as of 2024. These numbers of employee caps for tourism companies are rather large </w:t>
      </w:r>
      <w:r w:rsidR="00C50EBA" w:rsidRPr="00D44766">
        <w:rPr>
          <w:rFonts w:cs="Times New Roman"/>
          <w:lang w:val="en-GB"/>
        </w:rPr>
        <w:lastRenderedPageBreak/>
        <w:t xml:space="preserve">and thus, it fails to include numerous of medium and smaller-sized companies who in their entirety could have some additional and well required input and power. But so far, these companies are totally </w:t>
      </w:r>
      <w:r w:rsidR="00A2358C" w:rsidRPr="00D44766">
        <w:rPr>
          <w:rFonts w:cs="Times New Roman"/>
          <w:lang w:val="en-GB"/>
        </w:rPr>
        <w:t>neglected,</w:t>
      </w:r>
      <w:r w:rsidR="00C50EBA" w:rsidRPr="00D44766">
        <w:rPr>
          <w:rFonts w:cs="Times New Roman"/>
          <w:lang w:val="en-GB"/>
        </w:rPr>
        <w:t xml:space="preserve"> and the only hypothetical effect would be if they buy through one of these DMCs partners, who are obliged to follow the rules. Actions and activities in this regard are </w:t>
      </w:r>
      <w:r w:rsidR="00EF26A1" w:rsidRPr="00D44766">
        <w:rPr>
          <w:rFonts w:cs="Times New Roman"/>
          <w:lang w:val="en-GB"/>
        </w:rPr>
        <w:t xml:space="preserve">still </w:t>
      </w:r>
      <w:r w:rsidR="00C50EBA" w:rsidRPr="00D44766">
        <w:rPr>
          <w:rFonts w:cs="Times New Roman"/>
          <w:lang w:val="en-GB"/>
        </w:rPr>
        <w:t xml:space="preserve">based largely on non-mandatory involvement of SME TOs – as will further discussed in the preceding chapter, especially in SMEs there is a lot of willingness to get involved in CSR-related topics. </w:t>
      </w:r>
    </w:p>
    <w:p w14:paraId="1519D95C" w14:textId="2DFA6D95" w:rsidR="000F65FF" w:rsidRDefault="000F65FF" w:rsidP="002E26E0">
      <w:pPr>
        <w:contextualSpacing/>
        <w:rPr>
          <w:rFonts w:cs="Times New Roman"/>
          <w:lang w:val="en-GB"/>
        </w:rPr>
      </w:pPr>
      <w:r w:rsidRPr="00D44766">
        <w:rPr>
          <w:rFonts w:cs="Times New Roman"/>
          <w:lang w:val="en-GB"/>
        </w:rPr>
        <w:t xml:space="preserve">One major </w:t>
      </w:r>
      <w:r w:rsidR="00AA538D" w:rsidRPr="00D44766">
        <w:rPr>
          <w:rFonts w:cs="Times New Roman"/>
          <w:lang w:val="en-GB"/>
        </w:rPr>
        <w:t>shortcoming</w:t>
      </w:r>
      <w:r w:rsidRPr="00D44766">
        <w:rPr>
          <w:rFonts w:cs="Times New Roman"/>
          <w:lang w:val="en-GB"/>
        </w:rPr>
        <w:t xml:space="preserve"> is the question of liability and the burden of proof that lies with the violated party (</w:t>
      </w:r>
      <w:r w:rsidRPr="0050131A">
        <w:rPr>
          <w:rFonts w:cs="Times New Roman"/>
          <w:color w:val="70AD47" w:themeColor="accent6"/>
          <w:lang w:val="en-GB"/>
        </w:rPr>
        <w:t>ECPAT International, 2022</w:t>
      </w:r>
      <w:r w:rsidRPr="00D44766">
        <w:rPr>
          <w:rFonts w:cs="Times New Roman"/>
          <w:lang w:val="en-GB"/>
        </w:rPr>
        <w:t xml:space="preserve">). </w:t>
      </w:r>
      <w:r w:rsidR="00D83FEF" w:rsidRPr="00D44766">
        <w:rPr>
          <w:rFonts w:cs="Times New Roman"/>
          <w:lang w:val="en-GB"/>
        </w:rPr>
        <w:t xml:space="preserve">Companies violating the Act will not be charged under civil law but can be prosecuted with the assistance of unions and/or NGOs under existing and independent liability provisions. Nevertheless, as outlined above these court cases are strenuous as another law is applicable and the proof of evidence lies with the individual. </w:t>
      </w:r>
      <w:r w:rsidR="00602C60" w:rsidRPr="00D44766">
        <w:rPr>
          <w:rFonts w:cs="Times New Roman"/>
          <w:lang w:val="en-GB"/>
        </w:rPr>
        <w:t>In practices, again it remains to be seen if any individual would actually sue a company abroad – especially if the income basically depends on the industry and their</w:t>
      </w:r>
      <w:r w:rsidR="00B952D9" w:rsidRPr="00D44766">
        <w:rPr>
          <w:rFonts w:cs="Times New Roman"/>
          <w:lang w:val="en-GB"/>
        </w:rPr>
        <w:t xml:space="preserve"> own</w:t>
      </w:r>
      <w:r w:rsidR="00602C60" w:rsidRPr="00D44766">
        <w:rPr>
          <w:rFonts w:cs="Times New Roman"/>
          <w:lang w:val="en-GB"/>
        </w:rPr>
        <w:t xml:space="preserve"> reputation. This situational conflict can be shown at the example of a tour-guide. In many cases, tour guides work on a freelance basis – meaning they are dependent on bookings from DMCs</w:t>
      </w:r>
      <w:r w:rsidR="00705332" w:rsidRPr="00D44766">
        <w:rPr>
          <w:rFonts w:cs="Times New Roman"/>
          <w:lang w:val="en-GB"/>
        </w:rPr>
        <w:t xml:space="preserve"> and their contracted TOs partners. If tour guides are now suing a TO chances are that they will not be booked by the TO/DMC in turn </w:t>
      </w:r>
      <w:r w:rsidR="00B952D9" w:rsidRPr="00D44766">
        <w:rPr>
          <w:rFonts w:cs="Times New Roman"/>
          <w:lang w:val="en-GB"/>
        </w:rPr>
        <w:t xml:space="preserve">are rather high </w:t>
      </w:r>
      <w:r w:rsidR="00705332" w:rsidRPr="00D44766">
        <w:rPr>
          <w:rFonts w:cs="Times New Roman"/>
          <w:lang w:val="en-GB"/>
        </w:rPr>
        <w:t xml:space="preserve">and s/he faces a loss of income. </w:t>
      </w:r>
      <w:r w:rsidR="00A2358C" w:rsidRPr="00D44766">
        <w:rPr>
          <w:rFonts w:cs="Times New Roman"/>
          <w:lang w:val="en-GB"/>
        </w:rPr>
        <w:t>Also,</w:t>
      </w:r>
      <w:r w:rsidR="00705332" w:rsidRPr="00D44766">
        <w:rPr>
          <w:rFonts w:cs="Times New Roman"/>
          <w:lang w:val="en-GB"/>
        </w:rPr>
        <w:t xml:space="preserve"> as the industry is a </w:t>
      </w:r>
      <w:r w:rsidR="00AA538D" w:rsidRPr="00D44766">
        <w:rPr>
          <w:rFonts w:cs="Times New Roman"/>
          <w:lang w:val="en-GB"/>
        </w:rPr>
        <w:t>tight</w:t>
      </w:r>
      <w:r w:rsidR="00705332" w:rsidRPr="00D44766">
        <w:rPr>
          <w:rFonts w:cs="Times New Roman"/>
          <w:lang w:val="en-GB"/>
        </w:rPr>
        <w:t xml:space="preserve"> knit network word travels fast and a hesitancy towards working with that individual could grow with other DMCs/TOs. So </w:t>
      </w:r>
      <w:r w:rsidR="00A2358C" w:rsidRPr="00D44766">
        <w:rPr>
          <w:rFonts w:cs="Times New Roman"/>
          <w:lang w:val="en-GB"/>
        </w:rPr>
        <w:t>actually,</w:t>
      </w:r>
      <w:r w:rsidR="00705332" w:rsidRPr="00D44766">
        <w:rPr>
          <w:rFonts w:cs="Times New Roman"/>
          <w:lang w:val="en-GB"/>
        </w:rPr>
        <w:t xml:space="preserve"> suing a companies could jeopardise the livelihood. And depending on what party of the tourism product the tour guide was initially</w:t>
      </w:r>
      <w:r w:rsidR="00B952D9" w:rsidRPr="00D44766">
        <w:rPr>
          <w:rFonts w:cs="Times New Roman"/>
          <w:lang w:val="en-GB"/>
        </w:rPr>
        <w:t xml:space="preserve"> in the booking procedure</w:t>
      </w:r>
      <w:r w:rsidR="00705332" w:rsidRPr="00D44766">
        <w:rPr>
          <w:rFonts w:cs="Times New Roman"/>
          <w:lang w:val="en-GB"/>
        </w:rPr>
        <w:t xml:space="preserve">, s/he is not considered as part of the supply chain at </w:t>
      </w:r>
      <w:r w:rsidR="00A2358C" w:rsidRPr="00D44766">
        <w:rPr>
          <w:rFonts w:cs="Times New Roman"/>
          <w:lang w:val="en-GB"/>
        </w:rPr>
        <w:t>all,</w:t>
      </w:r>
      <w:r w:rsidR="00705332" w:rsidRPr="00D44766">
        <w:rPr>
          <w:rFonts w:cs="Times New Roman"/>
          <w:lang w:val="en-GB"/>
        </w:rPr>
        <w:t xml:space="preserve"> and all claims would be </w:t>
      </w:r>
      <w:r w:rsidR="003601FA" w:rsidRPr="00D44766">
        <w:rPr>
          <w:rFonts w:cs="Times New Roman"/>
          <w:lang w:val="en-GB"/>
        </w:rPr>
        <w:t xml:space="preserve">void. Especially this example shows the vulnerability of these service providers which can be crucial for the success of the trip. Particularly for guided </w:t>
      </w:r>
      <w:r w:rsidR="00A2358C" w:rsidRPr="00D44766">
        <w:rPr>
          <w:rFonts w:cs="Times New Roman"/>
          <w:lang w:val="en-GB"/>
        </w:rPr>
        <w:t>roundtrips</w:t>
      </w:r>
      <w:r w:rsidR="003601FA" w:rsidRPr="00D44766">
        <w:rPr>
          <w:rFonts w:cs="Times New Roman"/>
          <w:lang w:val="en-GB"/>
        </w:rPr>
        <w:t xml:space="preserve">, tour guides spent several hours per day with his/her guests and chances that guests will actually learn about mistreatments etc. are highly likely which in turn will put the TO in a bad light. </w:t>
      </w:r>
    </w:p>
    <w:p w14:paraId="64EA20BC" w14:textId="2FA3338C" w:rsidR="00B528F6" w:rsidRPr="00D44766" w:rsidRDefault="00B528F6" w:rsidP="002E26E0">
      <w:pPr>
        <w:contextualSpacing/>
        <w:rPr>
          <w:rFonts w:cs="Times New Roman"/>
          <w:lang w:val="en-GB"/>
        </w:rPr>
      </w:pPr>
      <w:r>
        <w:rPr>
          <w:rFonts w:cs="Times New Roman"/>
          <w:lang w:val="en-GB"/>
        </w:rPr>
        <w:t>Looking at the extensive destination portfolio and operations of for example TUI Group: they offer trips to more than 99 destinations worldwide (</w:t>
      </w:r>
      <w:r w:rsidR="00AD36A0" w:rsidRPr="00AD36A0">
        <w:rPr>
          <w:lang w:val="en-GB"/>
        </w:rPr>
        <w:t>T</w:t>
      </w:r>
      <w:r w:rsidR="00AD36A0">
        <w:rPr>
          <w:lang w:val="en-GB"/>
        </w:rPr>
        <w:t>UI, 2023</w:t>
      </w:r>
      <w:r>
        <w:rPr>
          <w:rFonts w:cs="Times New Roman"/>
          <w:lang w:val="en-GB"/>
        </w:rPr>
        <w:t>), own 400 hotels and resorts worldwide, operate 16 cruise ships as well as running various TOs around Europe (</w:t>
      </w:r>
      <w:r w:rsidRPr="00B528F6">
        <w:rPr>
          <w:color w:val="4472C4" w:themeColor="accent1"/>
          <w:lang w:val="en-GB"/>
        </w:rPr>
        <w:t>T</w:t>
      </w:r>
      <w:r w:rsidRPr="00B528F6">
        <w:rPr>
          <w:color w:val="4472C4" w:themeColor="accent1"/>
          <w:lang w:val="en-GB"/>
        </w:rPr>
        <w:t>U</w:t>
      </w:r>
      <w:r w:rsidRPr="00B528F6">
        <w:rPr>
          <w:color w:val="4472C4" w:themeColor="accent1"/>
          <w:lang w:val="en-GB"/>
        </w:rPr>
        <w:t>I Gro</w:t>
      </w:r>
      <w:r w:rsidRPr="00B528F6">
        <w:rPr>
          <w:color w:val="4472C4" w:themeColor="accent1"/>
          <w:lang w:val="en-GB"/>
        </w:rPr>
        <w:t>u</w:t>
      </w:r>
      <w:r w:rsidRPr="00B528F6">
        <w:rPr>
          <w:color w:val="4472C4" w:themeColor="accent1"/>
          <w:lang w:val="en-GB"/>
        </w:rPr>
        <w:t>p</w:t>
      </w:r>
      <w:r w:rsidR="00255779">
        <w:rPr>
          <w:color w:val="4472C4" w:themeColor="accent1"/>
          <w:lang w:val="en-GB"/>
        </w:rPr>
        <w:t>, 2023b</w:t>
      </w:r>
      <w:r>
        <w:rPr>
          <w:rFonts w:cs="Times New Roman"/>
          <w:lang w:val="en-GB"/>
        </w:rPr>
        <w:t>). A similar picture does apply for D</w:t>
      </w:r>
      <w:r w:rsidR="00FF2C8C">
        <w:rPr>
          <w:rFonts w:cs="Times New Roman"/>
          <w:lang w:val="en-GB"/>
        </w:rPr>
        <w:t>ER T</w:t>
      </w:r>
      <w:r>
        <w:rPr>
          <w:rFonts w:cs="Times New Roman"/>
          <w:lang w:val="en-GB"/>
        </w:rPr>
        <w:t xml:space="preserve">ouristik as well as FTI. Under the new Act, they are required to assess all their operations and report accordingly. Talking to industry expert </w:t>
      </w:r>
      <w:r w:rsidRPr="004E0018">
        <w:rPr>
          <w:rFonts w:cs="Times New Roman"/>
          <w:lang w:val="en-GB"/>
        </w:rPr>
        <w:t>Hieke</w:t>
      </w:r>
      <w:r w:rsidR="00733803">
        <w:rPr>
          <w:rFonts w:cs="Times New Roman"/>
          <w:lang w:val="en-GB"/>
        </w:rPr>
        <w:t xml:space="preserve"> (2023)</w:t>
      </w:r>
      <w:r>
        <w:rPr>
          <w:rFonts w:cs="Times New Roman"/>
          <w:lang w:val="en-GB"/>
        </w:rPr>
        <w:t xml:space="preserve">, this leads to </w:t>
      </w:r>
      <w:r w:rsidR="00EC602F">
        <w:rPr>
          <w:rFonts w:cs="Times New Roman"/>
          <w:lang w:val="en-GB"/>
        </w:rPr>
        <w:t xml:space="preserve">an immense bureaucratic burden which has to be mastered and this takes away resources to evaluate the supply chain properly in order to make it more sustainable. Those projects are all being paused in order to incorporate all obligations under </w:t>
      </w:r>
      <w:r w:rsidR="00EC602F">
        <w:rPr>
          <w:rFonts w:cs="Times New Roman"/>
          <w:lang w:val="en-GB"/>
        </w:rPr>
        <w:lastRenderedPageBreak/>
        <w:t xml:space="preserve">the Act. Moreover, it remains to be seen how audits and controls from an official side will be </w:t>
      </w:r>
      <w:r w:rsidR="00AA538D">
        <w:rPr>
          <w:rFonts w:cs="Times New Roman"/>
          <w:lang w:val="en-GB"/>
        </w:rPr>
        <w:t>conducted,</w:t>
      </w:r>
      <w:r w:rsidR="00EC602F">
        <w:rPr>
          <w:rFonts w:cs="Times New Roman"/>
          <w:lang w:val="en-GB"/>
        </w:rPr>
        <w:t xml:space="preserve"> which such an extensive network all over the world for TO like TUI, DER</w:t>
      </w:r>
      <w:r w:rsidR="00FF2C8C">
        <w:rPr>
          <w:rFonts w:cs="Times New Roman"/>
          <w:lang w:val="en-GB"/>
        </w:rPr>
        <w:t xml:space="preserve"> T</w:t>
      </w:r>
      <w:r w:rsidR="00EC602F">
        <w:rPr>
          <w:rFonts w:cs="Times New Roman"/>
          <w:lang w:val="en-GB"/>
        </w:rPr>
        <w:t>ourist</w:t>
      </w:r>
      <w:r w:rsidR="00FF2C8C">
        <w:rPr>
          <w:rFonts w:cs="Times New Roman"/>
          <w:lang w:val="en-GB"/>
        </w:rPr>
        <w:t>ik</w:t>
      </w:r>
      <w:r w:rsidR="00EC602F">
        <w:rPr>
          <w:rFonts w:cs="Times New Roman"/>
          <w:lang w:val="en-GB"/>
        </w:rPr>
        <w:t xml:space="preserve"> etc. it remains to be seen how this is being handled. </w:t>
      </w:r>
    </w:p>
    <w:p w14:paraId="0F49D882" w14:textId="77777777" w:rsidR="00E054D2" w:rsidRPr="00D44766" w:rsidRDefault="00295EFF" w:rsidP="00E054D2">
      <w:pPr>
        <w:contextualSpacing/>
        <w:rPr>
          <w:rFonts w:cs="Times New Roman"/>
          <w:lang w:val="en-GB"/>
        </w:rPr>
      </w:pPr>
      <w:r w:rsidRPr="00D44766">
        <w:rPr>
          <w:rFonts w:cs="Times New Roman"/>
          <w:lang w:val="en-GB"/>
        </w:rPr>
        <w:t>So overall, drawing and concluding from the above the Due Diligence</w:t>
      </w:r>
      <w:r w:rsidR="00B952D9" w:rsidRPr="00D44766">
        <w:rPr>
          <w:rFonts w:cs="Times New Roman"/>
          <w:lang w:val="en-GB"/>
        </w:rPr>
        <w:t xml:space="preserve"> Act</w:t>
      </w:r>
      <w:r w:rsidRPr="00D44766">
        <w:rPr>
          <w:rFonts w:cs="Times New Roman"/>
          <w:lang w:val="en-GB"/>
        </w:rPr>
        <w:t xml:space="preserve"> – due to a number of reasons – does not seem to have the potential to really foster change throughout the industry. The scope is narrow set</w:t>
      </w:r>
      <w:r w:rsidR="00B8398D" w:rsidRPr="00D44766">
        <w:rPr>
          <w:rFonts w:cs="Times New Roman"/>
          <w:lang w:val="en-GB"/>
        </w:rPr>
        <w:t xml:space="preserve"> with the application to suppliers</w:t>
      </w:r>
      <w:r w:rsidRPr="00D44766">
        <w:rPr>
          <w:rFonts w:cs="Times New Roman"/>
          <w:lang w:val="en-GB"/>
        </w:rPr>
        <w:t>, definitions are too vague and the hurdles for those who are affected by mistreatment are too high to actually legally sue</w:t>
      </w:r>
      <w:r w:rsidR="00B8398D" w:rsidRPr="00D44766">
        <w:rPr>
          <w:rFonts w:cs="Times New Roman"/>
          <w:lang w:val="en-GB"/>
        </w:rPr>
        <w:t xml:space="preserve">. </w:t>
      </w:r>
      <w:r w:rsidR="00B952D9" w:rsidRPr="00D44766">
        <w:rPr>
          <w:rFonts w:cs="Times New Roman"/>
          <w:lang w:val="en-GB"/>
        </w:rPr>
        <w:t>The risk of shifting responsibility and basically outsourcing it to direct supplier is given. Overall, these big TOs are focused on standardisation, lean business operations and in orde</w:t>
      </w:r>
      <w:r w:rsidR="00FE5AB7" w:rsidRPr="00D44766">
        <w:rPr>
          <w:rFonts w:cs="Times New Roman"/>
          <w:lang w:val="en-GB"/>
        </w:rPr>
        <w:t>r to keep the businesses running in an industry with low profit-margins a certain volume of bookings has to be generated to keep the businesses going. It also remains to be seen how the CSR actions which companies like TUI have invested in will continue</w:t>
      </w:r>
      <w:r w:rsidR="00CB638D" w:rsidRPr="00D44766">
        <w:rPr>
          <w:rFonts w:cs="Times New Roman"/>
          <w:lang w:val="en-GB"/>
        </w:rPr>
        <w:t xml:space="preserve">. </w:t>
      </w:r>
      <w:r w:rsidR="00B8398D" w:rsidRPr="00D44766">
        <w:rPr>
          <w:rFonts w:cs="Times New Roman"/>
          <w:lang w:val="en-GB"/>
        </w:rPr>
        <w:t xml:space="preserve">And </w:t>
      </w:r>
      <w:r w:rsidR="00CB638D" w:rsidRPr="00D44766">
        <w:rPr>
          <w:rFonts w:cs="Times New Roman"/>
          <w:lang w:val="en-GB"/>
        </w:rPr>
        <w:t xml:space="preserve">ultimately the Act </w:t>
      </w:r>
      <w:r w:rsidR="00B8398D" w:rsidRPr="00D44766">
        <w:rPr>
          <w:rFonts w:cs="Times New Roman"/>
          <w:lang w:val="en-GB"/>
        </w:rPr>
        <w:t xml:space="preserve">applies only to human rights violations </w:t>
      </w:r>
      <w:r w:rsidR="00CB638D" w:rsidRPr="00D44766">
        <w:rPr>
          <w:rFonts w:cs="Times New Roman"/>
          <w:lang w:val="en-GB"/>
        </w:rPr>
        <w:t>as only there were included in the conventions the Act refers to</w:t>
      </w:r>
      <w:r w:rsidR="00B8398D" w:rsidRPr="00D44766">
        <w:rPr>
          <w:rFonts w:cs="Times New Roman"/>
          <w:lang w:val="en-GB"/>
        </w:rPr>
        <w:t>– the question of who looks after and potentially sues companies for environmental violations has largely been left out so far and is also not addressed in the conventions the Act is based on (</w:t>
      </w:r>
      <w:r w:rsidR="00B8398D" w:rsidRPr="0050131A">
        <w:rPr>
          <w:rFonts w:cs="Times New Roman"/>
          <w:color w:val="70AD47" w:themeColor="accent6"/>
          <w:lang w:val="en-GB"/>
        </w:rPr>
        <w:t>Tomin, 2022).</w:t>
      </w:r>
      <w:r w:rsidR="00B8398D" w:rsidRPr="00D44766">
        <w:rPr>
          <w:rFonts w:cs="Times New Roman"/>
          <w:lang w:val="en-GB"/>
        </w:rPr>
        <w:t xml:space="preserve"> </w:t>
      </w:r>
    </w:p>
    <w:p w14:paraId="3A0FB4FF" w14:textId="42EAFBD5" w:rsidR="00E054D2" w:rsidRPr="00D44766" w:rsidRDefault="00E054D2" w:rsidP="00E054D2">
      <w:pPr>
        <w:contextualSpacing/>
        <w:rPr>
          <w:lang w:val="en-GB"/>
        </w:rPr>
      </w:pPr>
      <w:r w:rsidRPr="00D44766">
        <w:rPr>
          <w:lang w:val="en-GB"/>
        </w:rPr>
        <w:t xml:space="preserve">Despite the new EU draft which eradicates some of the above shortcomings -it can be doubted that stronger policies specifically targeting tourism will be implanted anytime soon – with the official bodies like World Tourism and Travel Council and World </w:t>
      </w:r>
      <w:r w:rsidR="00D44766" w:rsidRPr="00D44766">
        <w:rPr>
          <w:lang w:val="en-GB"/>
        </w:rPr>
        <w:t>Tourism</w:t>
      </w:r>
      <w:r w:rsidRPr="00D44766">
        <w:rPr>
          <w:lang w:val="en-GB"/>
        </w:rPr>
        <w:t xml:space="preserve"> Organisation promoting a growth in tourism and thus pushing policies rather in this direction than in a direction that would restrain tourism (</w:t>
      </w:r>
      <w:r w:rsidRPr="00E40414">
        <w:rPr>
          <w:color w:val="70AD47" w:themeColor="accent6"/>
          <w:lang w:val="en-GB"/>
        </w:rPr>
        <w:t>Mowforth and Munt, 2003</w:t>
      </w:r>
      <w:r w:rsidRPr="00D44766">
        <w:rPr>
          <w:lang w:val="en-GB"/>
        </w:rPr>
        <w:t xml:space="preserve">) – so the task lies with the destinations, hotels, service suppliers and TOs to facilitate change. </w:t>
      </w:r>
    </w:p>
    <w:p w14:paraId="1F29D436" w14:textId="4F9AB5E5" w:rsidR="004619A1" w:rsidRPr="00D44766" w:rsidRDefault="00AE26EB" w:rsidP="002E26E0">
      <w:pPr>
        <w:pStyle w:val="berschrift2"/>
        <w:contextualSpacing/>
        <w:rPr>
          <w:lang w:val="en-GB"/>
        </w:rPr>
      </w:pPr>
      <w:bookmarkStart w:id="65" w:name="_Toc143330996"/>
      <w:bookmarkStart w:id="66" w:name="_Toc143361663"/>
      <w:r>
        <w:rPr>
          <w:lang w:val="en-GB"/>
        </w:rPr>
        <w:t>5</w:t>
      </w:r>
      <w:r w:rsidR="00CC7E06" w:rsidRPr="00D44766">
        <w:rPr>
          <w:lang w:val="en-GB"/>
        </w:rPr>
        <w:t xml:space="preserve">.2. </w:t>
      </w:r>
      <w:r w:rsidR="004619A1" w:rsidRPr="00D44766">
        <w:rPr>
          <w:lang w:val="en-GB"/>
        </w:rPr>
        <w:t xml:space="preserve">CSR for SME Tour Operators – </w:t>
      </w:r>
      <w:bookmarkEnd w:id="65"/>
      <w:r w:rsidR="007D0005">
        <w:rPr>
          <w:lang w:val="en-GB"/>
        </w:rPr>
        <w:t>challenges and opportunities to change</w:t>
      </w:r>
      <w:bookmarkEnd w:id="66"/>
    </w:p>
    <w:p w14:paraId="6E47E408" w14:textId="59B4F198" w:rsidR="003F2000" w:rsidRDefault="00FF2C8C" w:rsidP="002E26E0">
      <w:pPr>
        <w:contextualSpacing/>
        <w:rPr>
          <w:lang w:val="en-GB"/>
        </w:rPr>
      </w:pPr>
      <w:r>
        <w:rPr>
          <w:lang w:val="en-GB"/>
        </w:rPr>
        <w:t xml:space="preserve">With increasing societal and institutional pressure for a more responsible and sustainable (tourism) industry, companies have to become active and take the lead in transforming the industry </w:t>
      </w:r>
      <w:r w:rsidR="00C746E2" w:rsidRPr="00D44766">
        <w:rPr>
          <w:lang w:val="en-GB"/>
        </w:rPr>
        <w:t>(</w:t>
      </w:r>
      <w:r w:rsidR="00C746E2" w:rsidRPr="00E40414">
        <w:rPr>
          <w:color w:val="70AD47" w:themeColor="accent6"/>
          <w:lang w:val="en-GB"/>
        </w:rPr>
        <w:t>McKercher, 199</w:t>
      </w:r>
      <w:r w:rsidR="00E40414" w:rsidRPr="00E40414">
        <w:rPr>
          <w:color w:val="70AD47" w:themeColor="accent6"/>
          <w:lang w:val="en-GB"/>
        </w:rPr>
        <w:t>3</w:t>
      </w:r>
      <w:r w:rsidR="00C746E2" w:rsidRPr="00D44766">
        <w:rPr>
          <w:lang w:val="en-GB"/>
        </w:rPr>
        <w:t xml:space="preserve">). </w:t>
      </w:r>
      <w:r>
        <w:rPr>
          <w:lang w:val="en-GB"/>
        </w:rPr>
        <w:t xml:space="preserve">On a larger scale, </w:t>
      </w:r>
      <w:r w:rsidR="00085289" w:rsidRPr="00D44766">
        <w:rPr>
          <w:lang w:val="en-GB"/>
        </w:rPr>
        <w:t>CSR does not yet seem to have much of an influence in the industry</w:t>
      </w:r>
      <w:r>
        <w:rPr>
          <w:lang w:val="en-GB"/>
        </w:rPr>
        <w:t>,</w:t>
      </w:r>
      <w:r w:rsidR="00085289" w:rsidRPr="00D44766">
        <w:rPr>
          <w:lang w:val="en-GB"/>
        </w:rPr>
        <w:t xml:space="preserve"> </w:t>
      </w:r>
      <w:r w:rsidR="00A2358C" w:rsidRPr="00D44766">
        <w:rPr>
          <w:lang w:val="en-GB"/>
        </w:rPr>
        <w:t>which,</w:t>
      </w:r>
      <w:r w:rsidR="00085289" w:rsidRPr="00D44766">
        <w:rPr>
          <w:lang w:val="en-GB"/>
        </w:rPr>
        <w:t xml:space="preserve"> however, seems in desperate need of one, if it does not want to strip itself of what makes it so attractive – its natural environment and local (host) communities.</w:t>
      </w:r>
      <w:r w:rsidR="00CB638D" w:rsidRPr="00D44766">
        <w:rPr>
          <w:lang w:val="en-GB"/>
        </w:rPr>
        <w:t xml:space="preserve"> Large TOs like TUI have long invest into CSR and sustainability – on their TUI Group homepage goals, achievements, their own foundation etc. are presented (</w:t>
      </w:r>
      <w:r w:rsidR="00CB638D" w:rsidRPr="00E40414">
        <w:rPr>
          <w:color w:val="70AD47" w:themeColor="accent6"/>
          <w:lang w:val="en-GB"/>
        </w:rPr>
        <w:t>TUI Group, 2023</w:t>
      </w:r>
      <w:r w:rsidR="00255779">
        <w:rPr>
          <w:color w:val="70AD47" w:themeColor="accent6"/>
          <w:lang w:val="en-GB"/>
        </w:rPr>
        <w:t>a</w:t>
      </w:r>
      <w:r w:rsidR="00CB638D" w:rsidRPr="00D44766">
        <w:rPr>
          <w:lang w:val="en-GB"/>
        </w:rPr>
        <w:t>).</w:t>
      </w:r>
      <w:r>
        <w:rPr>
          <w:lang w:val="en-GB"/>
        </w:rPr>
        <w:t xml:space="preserve"> SME TOs, especially those focused on roundtrips, have initiated associations </w:t>
      </w:r>
      <w:r w:rsidR="00DA428D">
        <w:rPr>
          <w:lang w:val="en-GB"/>
        </w:rPr>
        <w:t>like forum anders reisen e.V. in order to act and push tourism to be socially and environmentally friendly.</w:t>
      </w:r>
      <w:r w:rsidR="00A54D93">
        <w:rPr>
          <w:lang w:val="en-GB"/>
        </w:rPr>
        <w:t xml:space="preserve"> </w:t>
      </w:r>
      <w:r w:rsidR="00DA428D">
        <w:rPr>
          <w:lang w:val="en-GB"/>
        </w:rPr>
        <w:t xml:space="preserve">However, the majority of TOs don’t seem to </w:t>
      </w:r>
      <w:r w:rsidR="00AA538D">
        <w:rPr>
          <w:lang w:val="en-GB"/>
        </w:rPr>
        <w:t>invest</w:t>
      </w:r>
      <w:r w:rsidR="00DA428D">
        <w:rPr>
          <w:lang w:val="en-GB"/>
        </w:rPr>
        <w:t xml:space="preserve"> into CSR just yet to foster a </w:t>
      </w:r>
      <w:r w:rsidR="00AA538D">
        <w:rPr>
          <w:lang w:val="en-GB"/>
        </w:rPr>
        <w:t>large-scale</w:t>
      </w:r>
      <w:r w:rsidR="00DA428D">
        <w:rPr>
          <w:lang w:val="en-GB"/>
        </w:rPr>
        <w:t xml:space="preserve"> change. </w:t>
      </w:r>
      <w:r w:rsidR="001E4CC2" w:rsidRPr="00D44766">
        <w:rPr>
          <w:lang w:val="en-GB"/>
        </w:rPr>
        <w:t>TO</w:t>
      </w:r>
      <w:r w:rsidR="00085289" w:rsidRPr="00D44766">
        <w:rPr>
          <w:lang w:val="en-GB"/>
        </w:rPr>
        <w:t>s</w:t>
      </w:r>
      <w:r w:rsidR="001E4CC2" w:rsidRPr="00D44766">
        <w:rPr>
          <w:lang w:val="en-GB"/>
        </w:rPr>
        <w:t xml:space="preserve"> can play a major in leading </w:t>
      </w:r>
      <w:r w:rsidR="00CB638D" w:rsidRPr="00D44766">
        <w:rPr>
          <w:lang w:val="en-GB"/>
        </w:rPr>
        <w:t xml:space="preserve">the industry to a more sustainable one </w:t>
      </w:r>
      <w:r w:rsidR="001E4CC2" w:rsidRPr="00D44766">
        <w:rPr>
          <w:lang w:val="en-GB"/>
        </w:rPr>
        <w:t>– they are</w:t>
      </w:r>
      <w:r w:rsidR="00CB638D" w:rsidRPr="00D44766">
        <w:rPr>
          <w:lang w:val="en-GB"/>
        </w:rPr>
        <w:t xml:space="preserve"> re</w:t>
      </w:r>
      <w:r w:rsidR="00CB638D" w:rsidRPr="00D44766">
        <w:rPr>
          <w:lang w:val="en-GB"/>
        </w:rPr>
        <w:lastRenderedPageBreak/>
        <w:t>sponsible in</w:t>
      </w:r>
      <w:r w:rsidR="001E4CC2" w:rsidRPr="00D44766">
        <w:rPr>
          <w:lang w:val="en-GB"/>
        </w:rPr>
        <w:t xml:space="preserve"> assembling the holiday product by combining various products and services </w:t>
      </w:r>
      <w:r w:rsidR="001E4CC2" w:rsidRPr="00E40414">
        <w:rPr>
          <w:color w:val="70AD47" w:themeColor="accent6"/>
          <w:lang w:val="en-GB"/>
        </w:rPr>
        <w:t>(van Wijk and Persoon, 2006</w:t>
      </w:r>
      <w:r w:rsidR="001E4CC2" w:rsidRPr="00D44766">
        <w:rPr>
          <w:lang w:val="en-GB"/>
        </w:rPr>
        <w:t xml:space="preserve">) and ultimately in general do have the choice with which supplier they work. </w:t>
      </w:r>
      <w:r w:rsidR="00F64E28">
        <w:rPr>
          <w:lang w:val="en-GB"/>
        </w:rPr>
        <w:t>There are several platforms focusing on selling sustainable travel (fairweg.de, Goodtravel.de) but within the industry they did not yet lead to major change.</w:t>
      </w:r>
    </w:p>
    <w:p w14:paraId="25CE5206" w14:textId="7A60ECF9" w:rsidR="00C746E2" w:rsidRPr="00D44766" w:rsidRDefault="00CB638D" w:rsidP="002E26E0">
      <w:pPr>
        <w:contextualSpacing/>
        <w:rPr>
          <w:lang w:val="en-GB"/>
        </w:rPr>
      </w:pPr>
      <w:r w:rsidRPr="00D44766">
        <w:rPr>
          <w:lang w:val="en-GB"/>
        </w:rPr>
        <w:t>However, a</w:t>
      </w:r>
      <w:r w:rsidR="009E2A05" w:rsidRPr="00D44766">
        <w:rPr>
          <w:lang w:val="en-GB"/>
        </w:rPr>
        <w:t xml:space="preserve">s the </w:t>
      </w:r>
      <w:r w:rsidR="00A2358C" w:rsidRPr="00D44766">
        <w:rPr>
          <w:lang w:val="en-GB"/>
        </w:rPr>
        <w:t>above-mentioned</w:t>
      </w:r>
      <w:r w:rsidR="009E2A05" w:rsidRPr="00D44766">
        <w:rPr>
          <w:lang w:val="en-GB"/>
        </w:rPr>
        <w:t xml:space="preserve"> Due Diligence act neglects SME TOs the question </w:t>
      </w:r>
      <w:r w:rsidR="00E14B0A" w:rsidRPr="00D44766">
        <w:rPr>
          <w:lang w:val="en-GB"/>
        </w:rPr>
        <w:t>arises if</w:t>
      </w:r>
      <w:r w:rsidR="009E2A05" w:rsidRPr="00D44766">
        <w:rPr>
          <w:lang w:val="en-GB"/>
        </w:rPr>
        <w:t xml:space="preserve"> these business</w:t>
      </w:r>
      <w:r w:rsidR="00A2358C">
        <w:rPr>
          <w:lang w:val="en-GB"/>
        </w:rPr>
        <w:t>es</w:t>
      </w:r>
      <w:r w:rsidR="00DA428D">
        <w:rPr>
          <w:lang w:val="en-GB"/>
        </w:rPr>
        <w:t xml:space="preserve"> themselves should</w:t>
      </w:r>
      <w:r w:rsidR="009E2A05" w:rsidRPr="00D44766">
        <w:rPr>
          <w:lang w:val="en-GB"/>
        </w:rPr>
        <w:t xml:space="preserve"> take on responsibility and invest in CSR. As the</w:t>
      </w:r>
      <w:r w:rsidRPr="00D44766">
        <w:rPr>
          <w:lang w:val="en-GB"/>
        </w:rPr>
        <w:t>re</w:t>
      </w:r>
      <w:r w:rsidR="009E2A05" w:rsidRPr="00D44766">
        <w:rPr>
          <w:lang w:val="en-GB"/>
        </w:rPr>
        <w:t xml:space="preserve"> are numerous SME TOs not only in Germany but throughout the European market, the influence they could </w:t>
      </w:r>
      <w:r w:rsidRPr="00D44766">
        <w:rPr>
          <w:lang w:val="en-GB"/>
        </w:rPr>
        <w:t>bear</w:t>
      </w:r>
      <w:r w:rsidR="009E2A05" w:rsidRPr="00D44766">
        <w:rPr>
          <w:lang w:val="en-GB"/>
        </w:rPr>
        <w:t xml:space="preserve"> should not be underestimated. Especially in these smaller TOs, passion and love for the industry are often the key drivers to push </w:t>
      </w:r>
      <w:r w:rsidRPr="00D44766">
        <w:rPr>
          <w:lang w:val="en-GB"/>
        </w:rPr>
        <w:t xml:space="preserve">for a more </w:t>
      </w:r>
      <w:r w:rsidR="009E2A05" w:rsidRPr="00D44766">
        <w:rPr>
          <w:lang w:val="en-GB"/>
        </w:rPr>
        <w:t>responsible tourism</w:t>
      </w:r>
      <w:r w:rsidRPr="00D44766">
        <w:rPr>
          <w:lang w:val="en-GB"/>
        </w:rPr>
        <w:t xml:space="preserve"> approach</w:t>
      </w:r>
      <w:r w:rsidR="009E2A05" w:rsidRPr="00D44766">
        <w:rPr>
          <w:lang w:val="en-GB"/>
        </w:rPr>
        <w:t xml:space="preserve"> and ensure that future generations get t</w:t>
      </w:r>
      <w:r w:rsidRPr="00D44766">
        <w:rPr>
          <w:lang w:val="en-GB"/>
        </w:rPr>
        <w:t>o</w:t>
      </w:r>
      <w:r w:rsidR="009E2A05" w:rsidRPr="00D44766">
        <w:rPr>
          <w:lang w:val="en-GB"/>
        </w:rPr>
        <w:t xml:space="preserve"> enjoy the same (</w:t>
      </w:r>
      <w:r w:rsidR="009E2A05" w:rsidRPr="00BF4007">
        <w:rPr>
          <w:color w:val="70AD47" w:themeColor="accent6"/>
          <w:lang w:val="en-GB"/>
        </w:rPr>
        <w:t>Miller, 2001</w:t>
      </w:r>
      <w:r w:rsidR="009E2A05" w:rsidRPr="00D44766">
        <w:rPr>
          <w:lang w:val="en-GB"/>
        </w:rPr>
        <w:t>). However, the challenges they face is less ‘control’ over their DMC</w:t>
      </w:r>
      <w:r w:rsidR="002765DF" w:rsidRPr="00D44766">
        <w:rPr>
          <w:lang w:val="en-GB"/>
        </w:rPr>
        <w:t>-</w:t>
      </w:r>
      <w:r w:rsidR="009E2A05" w:rsidRPr="00D44766">
        <w:rPr>
          <w:lang w:val="en-GB"/>
        </w:rPr>
        <w:t>, hotel</w:t>
      </w:r>
      <w:r w:rsidR="002765DF" w:rsidRPr="00D44766">
        <w:rPr>
          <w:lang w:val="en-GB"/>
        </w:rPr>
        <w:t>-</w:t>
      </w:r>
      <w:r w:rsidR="009E2A05" w:rsidRPr="00D44766">
        <w:rPr>
          <w:lang w:val="en-GB"/>
        </w:rPr>
        <w:t xml:space="preserve"> and destination partners as simply their buying power is limited and also often the supplier </w:t>
      </w:r>
      <w:r w:rsidR="00A2358C" w:rsidRPr="00D44766">
        <w:rPr>
          <w:lang w:val="en-GB"/>
        </w:rPr>
        <w:t>rates,</w:t>
      </w:r>
      <w:r w:rsidR="009E2A05" w:rsidRPr="00D44766">
        <w:rPr>
          <w:lang w:val="en-GB"/>
        </w:rPr>
        <w:t xml:space="preserve"> they receive are not compatible with the rate that had been bulk-negotiation for the TOs with big</w:t>
      </w:r>
      <w:r w:rsidR="00DA428D">
        <w:rPr>
          <w:lang w:val="en-GB"/>
        </w:rPr>
        <w:t>ger</w:t>
      </w:r>
      <w:r w:rsidR="009E2A05" w:rsidRPr="00D44766">
        <w:rPr>
          <w:lang w:val="en-GB"/>
        </w:rPr>
        <w:t xml:space="preserve"> booking volumes (</w:t>
      </w:r>
      <w:r w:rsidR="009E2A05" w:rsidRPr="00BF4007">
        <w:rPr>
          <w:color w:val="70AD47" w:themeColor="accent6"/>
          <w:lang w:val="en-GB"/>
        </w:rPr>
        <w:t>Miller, 2001</w:t>
      </w:r>
      <w:r w:rsidR="009E2A05" w:rsidRPr="00D44766">
        <w:rPr>
          <w:lang w:val="en-GB"/>
        </w:rPr>
        <w:t xml:space="preserve">). </w:t>
      </w:r>
      <w:r w:rsidR="006A097A" w:rsidRPr="00D44766">
        <w:rPr>
          <w:lang w:val="en-GB"/>
        </w:rPr>
        <w:t xml:space="preserve">And with an increasing price-pressure – often due to overcapacity – margins </w:t>
      </w:r>
      <w:r w:rsidRPr="00D44766">
        <w:rPr>
          <w:lang w:val="en-GB"/>
        </w:rPr>
        <w:t xml:space="preserve">are </w:t>
      </w:r>
      <w:r w:rsidR="006A097A" w:rsidRPr="00D44766">
        <w:rPr>
          <w:lang w:val="en-GB"/>
        </w:rPr>
        <w:t>dropp</w:t>
      </w:r>
      <w:r w:rsidRPr="00D44766">
        <w:rPr>
          <w:lang w:val="en-GB"/>
        </w:rPr>
        <w:t xml:space="preserve">ing even </w:t>
      </w:r>
      <w:r w:rsidR="006A097A" w:rsidRPr="00D44766">
        <w:rPr>
          <w:lang w:val="en-GB"/>
        </w:rPr>
        <w:t>further (</w:t>
      </w:r>
      <w:r w:rsidR="00E40414">
        <w:rPr>
          <w:color w:val="70AD47" w:themeColor="accent6"/>
          <w:lang w:val="en-GB"/>
        </w:rPr>
        <w:t>v</w:t>
      </w:r>
      <w:r w:rsidR="006A097A" w:rsidRPr="00E40414">
        <w:rPr>
          <w:color w:val="70AD47" w:themeColor="accent6"/>
          <w:lang w:val="en-GB"/>
        </w:rPr>
        <w:t>an der Duim</w:t>
      </w:r>
      <w:r w:rsidR="00E40414" w:rsidRPr="00E40414">
        <w:rPr>
          <w:color w:val="70AD47" w:themeColor="accent6"/>
          <w:lang w:val="en-GB"/>
        </w:rPr>
        <w:t xml:space="preserve"> and </w:t>
      </w:r>
      <w:r w:rsidR="00E40414">
        <w:rPr>
          <w:color w:val="70AD47" w:themeColor="accent6"/>
          <w:lang w:val="en-GB"/>
        </w:rPr>
        <w:t>v</w:t>
      </w:r>
      <w:r w:rsidR="00E40414" w:rsidRPr="00E40414">
        <w:rPr>
          <w:color w:val="70AD47" w:themeColor="accent6"/>
          <w:lang w:val="en-GB"/>
        </w:rPr>
        <w:t>an Marwijk,</w:t>
      </w:r>
      <w:r w:rsidR="006A097A" w:rsidRPr="00E40414">
        <w:rPr>
          <w:color w:val="70AD47" w:themeColor="accent6"/>
          <w:lang w:val="en-GB"/>
        </w:rPr>
        <w:t xml:space="preserve"> 200</w:t>
      </w:r>
      <w:r w:rsidR="00E40414" w:rsidRPr="00E40414">
        <w:rPr>
          <w:color w:val="70AD47" w:themeColor="accent6"/>
          <w:lang w:val="en-GB"/>
        </w:rPr>
        <w:t>6</w:t>
      </w:r>
      <w:r w:rsidR="006A097A" w:rsidRPr="00D44766">
        <w:rPr>
          <w:lang w:val="en-GB"/>
        </w:rPr>
        <w:t xml:space="preserve">) in an industry where margins are in the low two number digits anyways. </w:t>
      </w:r>
      <w:r w:rsidR="00F36AB3">
        <w:rPr>
          <w:lang w:val="en-GB"/>
        </w:rPr>
        <w:t xml:space="preserve">There also is not much room to increase margins as the rates are very transparent and clients can easily check them online directly with the hotel or with other TOs. This holds particularly true for trips with only a flight, transfer and a hotel. This price pressure </w:t>
      </w:r>
      <w:r w:rsidR="006A097A" w:rsidRPr="00D44766">
        <w:rPr>
          <w:lang w:val="en-GB"/>
        </w:rPr>
        <w:t>obviously translates into even lower margins and hence lower profit</w:t>
      </w:r>
      <w:r w:rsidR="002765DF" w:rsidRPr="00D44766">
        <w:rPr>
          <w:lang w:val="en-GB"/>
        </w:rPr>
        <w:t>s</w:t>
      </w:r>
      <w:r w:rsidR="006A097A" w:rsidRPr="00D44766">
        <w:rPr>
          <w:lang w:val="en-GB"/>
        </w:rPr>
        <w:t xml:space="preserve"> from which to invest into CSR activities from (</w:t>
      </w:r>
      <w:r w:rsidR="006A097A" w:rsidRPr="00BF4007">
        <w:rPr>
          <w:color w:val="70AD47" w:themeColor="accent6"/>
          <w:lang w:val="en-GB"/>
        </w:rPr>
        <w:t>Miller, 2001</w:t>
      </w:r>
      <w:r w:rsidR="006A097A" w:rsidRPr="00D44766">
        <w:rPr>
          <w:lang w:val="en-GB"/>
        </w:rPr>
        <w:t xml:space="preserve">). </w:t>
      </w:r>
      <w:r w:rsidRPr="00D44766">
        <w:rPr>
          <w:lang w:val="en-GB"/>
        </w:rPr>
        <w:t xml:space="preserve">Additionally, SME TOs often </w:t>
      </w:r>
      <w:r w:rsidR="00A2358C" w:rsidRPr="00D44766">
        <w:rPr>
          <w:lang w:val="en-GB"/>
        </w:rPr>
        <w:t>do not</w:t>
      </w:r>
      <w:r w:rsidRPr="00D44766">
        <w:rPr>
          <w:lang w:val="en-GB"/>
        </w:rPr>
        <w:t xml:space="preserve"> have the financial liquidity to hedge currency – this means with the constant fluctuation</w:t>
      </w:r>
      <w:r w:rsidR="002765DF" w:rsidRPr="00D44766">
        <w:rPr>
          <w:lang w:val="en-GB"/>
        </w:rPr>
        <w:t xml:space="preserve"> in exchange rates</w:t>
      </w:r>
      <w:r w:rsidR="00E054D2" w:rsidRPr="00D44766">
        <w:rPr>
          <w:lang w:val="en-GB"/>
        </w:rPr>
        <w:t>, calculating offers for trips that take place in a years’ time is highly vulnerable. This can go as far, that TOs do actually lose all their profit margin. Hence, a hesitancy towards committing to spending money on CSR activities in such volatile times can build up</w:t>
      </w:r>
      <w:r w:rsidR="00DA428D">
        <w:rPr>
          <w:lang w:val="en-GB"/>
        </w:rPr>
        <w:t xml:space="preserve">; and despite all the passion for the industry and sustainable in order to stay in business the company doe have make a profit to sustain employees. </w:t>
      </w:r>
      <w:r w:rsidR="00E054D2" w:rsidRPr="00D44766">
        <w:rPr>
          <w:lang w:val="en-GB"/>
        </w:rPr>
        <w:t xml:space="preserve">Particularly with small and medium enterprises the resources to focus on CSR are often limited – especially now after COVID and the </w:t>
      </w:r>
      <w:r w:rsidR="00E054D2" w:rsidRPr="00F64E28">
        <w:rPr>
          <w:lang w:val="en-GB"/>
        </w:rPr>
        <w:t>current shortage of skilled employees.</w:t>
      </w:r>
      <w:r w:rsidR="00E054D2" w:rsidRPr="00D44766">
        <w:rPr>
          <w:lang w:val="en-GB"/>
        </w:rPr>
        <w:t xml:space="preserve"> If TOs do decide to invest, </w:t>
      </w:r>
      <w:r w:rsidR="00085289" w:rsidRPr="00BF4007">
        <w:rPr>
          <w:color w:val="70AD47" w:themeColor="accent6"/>
          <w:lang w:val="en-GB"/>
        </w:rPr>
        <w:t>Johann (2022)</w:t>
      </w:r>
      <w:r w:rsidR="00085289" w:rsidRPr="00D44766">
        <w:rPr>
          <w:lang w:val="en-GB"/>
        </w:rPr>
        <w:t xml:space="preserve"> certifies that international tour operators in general seem so far to focus on philanthropy instead of focusing on the supply chain management. Moreover, </w:t>
      </w:r>
      <w:r w:rsidR="00085289" w:rsidRPr="00BF4007">
        <w:rPr>
          <w:color w:val="70AD47" w:themeColor="accent6"/>
          <w:lang w:val="en-GB"/>
        </w:rPr>
        <w:t>Johann (2022</w:t>
      </w:r>
      <w:r w:rsidR="00085289" w:rsidRPr="00D44766">
        <w:rPr>
          <w:lang w:val="en-GB"/>
        </w:rPr>
        <w:t>) also claims that the focus in SMEs is more ‘on price and quality […] than social and environmental factors in decision-making’. Simultaneously though</w:t>
      </w:r>
      <w:r w:rsidR="00401F61" w:rsidRPr="00D44766">
        <w:rPr>
          <w:lang w:val="en-GB"/>
        </w:rPr>
        <w:t xml:space="preserve"> the SME TOs are usually much more involved and aware on what is actually happening in the destination and through this destination and product knowledge to have a different depth during the consultation process with the clients but </w:t>
      </w:r>
      <w:r w:rsidR="00401F61" w:rsidRPr="00D44766">
        <w:rPr>
          <w:lang w:val="en-GB"/>
        </w:rPr>
        <w:lastRenderedPageBreak/>
        <w:t xml:space="preserve">also with the local suppliers. </w:t>
      </w:r>
      <w:r w:rsidR="001E4CC2" w:rsidRPr="00D44766">
        <w:rPr>
          <w:lang w:val="en-GB"/>
        </w:rPr>
        <w:t>So as aforementioned, TOs don’t only have the opportunity to influence the supplier side they equally can (in most cases) also influence the consumers choice – of destination and of hotel (</w:t>
      </w:r>
      <w:r w:rsidR="001E4CC2" w:rsidRPr="00BF4007">
        <w:rPr>
          <w:color w:val="70AD47" w:themeColor="accent6"/>
          <w:lang w:val="en-GB"/>
        </w:rPr>
        <w:t>Bastakis</w:t>
      </w:r>
      <w:r w:rsidR="00BF4007" w:rsidRPr="00BF4007">
        <w:rPr>
          <w:color w:val="70AD47" w:themeColor="accent6"/>
          <w:lang w:val="en-GB"/>
        </w:rPr>
        <w:t>, Buhalis and Butler</w:t>
      </w:r>
      <w:r w:rsidR="001E4CC2" w:rsidRPr="00BF4007">
        <w:rPr>
          <w:color w:val="70AD47" w:themeColor="accent6"/>
          <w:lang w:val="en-GB"/>
        </w:rPr>
        <w:t>, 2004</w:t>
      </w:r>
      <w:r w:rsidR="00BF4007">
        <w:rPr>
          <w:lang w:val="en-GB"/>
        </w:rPr>
        <w:t>),</w:t>
      </w:r>
      <w:r w:rsidR="001E4CC2" w:rsidRPr="00D44766">
        <w:rPr>
          <w:lang w:val="en-GB"/>
        </w:rPr>
        <w:t xml:space="preserve"> and thus, they play a vital role in the tourism value chain. </w:t>
      </w:r>
      <w:r w:rsidR="00DA428D">
        <w:rPr>
          <w:lang w:val="en-GB"/>
        </w:rPr>
        <w:t>According to industry expert Hieke</w:t>
      </w:r>
      <w:r w:rsidR="00733803">
        <w:rPr>
          <w:lang w:val="en-GB"/>
        </w:rPr>
        <w:t xml:space="preserve"> (2023)</w:t>
      </w:r>
      <w:r w:rsidR="00DA428D">
        <w:rPr>
          <w:lang w:val="en-GB"/>
        </w:rPr>
        <w:t xml:space="preserve">, there is movement in the industry; like mentioned above no conference is by-passing the issue on sustainability and responsibility anymore. </w:t>
      </w:r>
    </w:p>
    <w:p w14:paraId="460CE0E8" w14:textId="326D25F2" w:rsidR="008977A1" w:rsidRPr="00D44766" w:rsidRDefault="006A097A" w:rsidP="008977A1">
      <w:pPr>
        <w:contextualSpacing/>
        <w:rPr>
          <w:lang w:val="en-GB"/>
        </w:rPr>
      </w:pPr>
      <w:r w:rsidRPr="00D44766">
        <w:rPr>
          <w:lang w:val="en-GB"/>
        </w:rPr>
        <w:t>So far</w:t>
      </w:r>
      <w:r w:rsidR="00DA428D">
        <w:rPr>
          <w:lang w:val="en-GB"/>
        </w:rPr>
        <w:t xml:space="preserve"> though</w:t>
      </w:r>
      <w:r w:rsidRPr="00D44766">
        <w:rPr>
          <w:lang w:val="en-GB"/>
        </w:rPr>
        <w:t>, looking at SME TOs</w:t>
      </w:r>
      <w:r w:rsidR="00E054D2" w:rsidRPr="00D44766">
        <w:rPr>
          <w:lang w:val="en-GB"/>
        </w:rPr>
        <w:t>,</w:t>
      </w:r>
      <w:r w:rsidRPr="00D44766">
        <w:rPr>
          <w:lang w:val="en-GB"/>
        </w:rPr>
        <w:t xml:space="preserve"> investment and involvement in CSR is rather limited according to a study from </w:t>
      </w:r>
      <w:r w:rsidRPr="00B3285C">
        <w:rPr>
          <w:color w:val="70AD47" w:themeColor="accent6"/>
          <w:lang w:val="en-GB"/>
        </w:rPr>
        <w:t>Brammer and Pavelin (2004</w:t>
      </w:r>
      <w:r w:rsidRPr="00D44766">
        <w:rPr>
          <w:lang w:val="en-GB"/>
        </w:rPr>
        <w:t>). They explain this phenomenon due to larger companies facing more public pressure, more stakeholders to satisfy and also a higher visibility -which could again be an indication that CSR at least partly is included to secure brand image and resilience.</w:t>
      </w:r>
      <w:r w:rsidR="00813ECF" w:rsidRPr="00D44766">
        <w:rPr>
          <w:lang w:val="en-GB"/>
        </w:rPr>
        <w:t xml:space="preserve"> </w:t>
      </w:r>
      <w:r w:rsidR="00434B09" w:rsidRPr="00D44766">
        <w:rPr>
          <w:lang w:val="en-GB"/>
        </w:rPr>
        <w:t>Especially for SMEs the task of including sustainable and CSR activities in their business operations can be perceived as an overwhelming task. The implementation of CSR-management systems to control their efforts often is out of their comprehension and they focus more on local action (</w:t>
      </w:r>
      <w:r w:rsidR="00434B09" w:rsidRPr="00B3285C">
        <w:rPr>
          <w:color w:val="70AD47" w:themeColor="accent6"/>
          <w:lang w:val="en-GB"/>
        </w:rPr>
        <w:t>Gogoll and Wenke, 2017</w:t>
      </w:r>
      <w:r w:rsidR="00434B09" w:rsidRPr="00D44766">
        <w:rPr>
          <w:lang w:val="en-GB"/>
        </w:rPr>
        <w:t>)</w:t>
      </w:r>
      <w:r w:rsidR="00E054D2" w:rsidRPr="00D44766">
        <w:rPr>
          <w:lang w:val="en-GB"/>
        </w:rPr>
        <w:t>.</w:t>
      </w:r>
      <w:r w:rsidR="00434B09" w:rsidRPr="00D44766">
        <w:rPr>
          <w:lang w:val="en-GB"/>
        </w:rPr>
        <w:t xml:space="preserve"> However, especially in tourism the more harmful effect does not happen locally but in the host destination – hence, </w:t>
      </w:r>
      <w:r w:rsidR="00A2358C" w:rsidRPr="00D44766">
        <w:rPr>
          <w:lang w:val="en-GB"/>
        </w:rPr>
        <w:t>it is</w:t>
      </w:r>
      <w:r w:rsidR="00434B09" w:rsidRPr="00D44766">
        <w:rPr>
          <w:lang w:val="en-GB"/>
        </w:rPr>
        <w:t xml:space="preserve"> recommended to extend the scope of CSR action beyond this</w:t>
      </w:r>
      <w:r w:rsidR="00E054D2" w:rsidRPr="00D44766">
        <w:rPr>
          <w:lang w:val="en-GB"/>
        </w:rPr>
        <w:t xml:space="preserve"> local approach</w:t>
      </w:r>
      <w:r w:rsidR="00434B09" w:rsidRPr="00D44766">
        <w:rPr>
          <w:lang w:val="en-GB"/>
        </w:rPr>
        <w:t>.</w:t>
      </w:r>
      <w:r w:rsidR="0070693D" w:rsidRPr="00D44766">
        <w:rPr>
          <w:lang w:val="en-GB"/>
        </w:rPr>
        <w:t xml:space="preserve"> And as </w:t>
      </w:r>
      <w:r w:rsidR="0070693D" w:rsidRPr="00B3285C">
        <w:rPr>
          <w:color w:val="70AD47" w:themeColor="accent6"/>
          <w:lang w:val="en-GB"/>
        </w:rPr>
        <w:t>Rishi</w:t>
      </w:r>
      <w:r w:rsidR="00B3285C" w:rsidRPr="00B3285C">
        <w:rPr>
          <w:color w:val="70AD47" w:themeColor="accent6"/>
          <w:lang w:val="en-GB"/>
        </w:rPr>
        <w:t>, Jauhari and Joshi</w:t>
      </w:r>
      <w:r w:rsidR="0070693D" w:rsidRPr="00B3285C">
        <w:rPr>
          <w:color w:val="70AD47" w:themeColor="accent6"/>
          <w:lang w:val="en-GB"/>
        </w:rPr>
        <w:t xml:space="preserve"> (2015</w:t>
      </w:r>
      <w:r w:rsidR="0070693D" w:rsidRPr="00D44766">
        <w:rPr>
          <w:lang w:val="en-GB"/>
        </w:rPr>
        <w:t>) identified in their study, travel agents (also in the sense of employees at TOs selling to direct clients) do have the influence to nudge clients into a more sustainable travel choice</w:t>
      </w:r>
      <w:r w:rsidR="00FD3C4C">
        <w:rPr>
          <w:lang w:val="en-GB"/>
        </w:rPr>
        <w:t xml:space="preserve"> or a contribution to a certain project</w:t>
      </w:r>
      <w:r w:rsidR="0070693D" w:rsidRPr="00D44766">
        <w:rPr>
          <w:lang w:val="en-GB"/>
        </w:rPr>
        <w:t xml:space="preserve">. </w:t>
      </w:r>
      <w:r w:rsidR="00DA428D">
        <w:rPr>
          <w:lang w:val="en-GB"/>
        </w:rPr>
        <w:t xml:space="preserve">On a very low-key </w:t>
      </w:r>
      <w:r w:rsidR="00FD3C4C">
        <w:rPr>
          <w:lang w:val="en-GB"/>
        </w:rPr>
        <w:t xml:space="preserve">nudge, </w:t>
      </w:r>
      <w:r w:rsidR="00DA428D">
        <w:rPr>
          <w:lang w:val="en-GB"/>
        </w:rPr>
        <w:t>there are international initiative like ‘pack-for-</w:t>
      </w:r>
      <w:r w:rsidR="00FD3C4C">
        <w:rPr>
          <w:lang w:val="en-GB"/>
        </w:rPr>
        <w:t>a-</w:t>
      </w:r>
      <w:r w:rsidR="00DA428D">
        <w:rPr>
          <w:lang w:val="en-GB"/>
        </w:rPr>
        <w:t>purpose</w:t>
      </w:r>
      <w:r w:rsidR="00FD3C4C">
        <w:rPr>
          <w:lang w:val="en-GB"/>
        </w:rPr>
        <w:t xml:space="preserve">’ where travellers can check what supplies are needed at certain projects world-wide and bring this along; this goes from pencils to band-aids to clothing etc. and TOs can point that out in their travel documents. </w:t>
      </w:r>
      <w:r w:rsidR="0070693D" w:rsidRPr="00D44766">
        <w:rPr>
          <w:lang w:val="en-GB"/>
        </w:rPr>
        <w:t>Therefore, TOs need to have the knowledge of what supplier companies are invested in CSR themselves – and due to the closer bonds with the destinations and suppliers many SME TOs have this knowledge ad</w:t>
      </w:r>
      <w:r w:rsidR="0032324C" w:rsidRPr="00D44766">
        <w:rPr>
          <w:lang w:val="en-GB"/>
        </w:rPr>
        <w:t xml:space="preserve">vantage. </w:t>
      </w:r>
      <w:r w:rsidR="00FD3C4C">
        <w:rPr>
          <w:lang w:val="en-GB"/>
        </w:rPr>
        <w:t xml:space="preserve">Circling back to the </w:t>
      </w:r>
      <w:r w:rsidR="008977A1" w:rsidRPr="00D44766">
        <w:rPr>
          <w:lang w:val="en-GB"/>
        </w:rPr>
        <w:t>three categories sustainable luxury companies can base their values on</w:t>
      </w:r>
      <w:r w:rsidR="008977A1">
        <w:rPr>
          <w:lang w:val="en-GB"/>
        </w:rPr>
        <w:t>, through simple and easy nudges, helping other can reduce the perceived guilt that sometimes is related to luxury purchases</w:t>
      </w:r>
      <w:r w:rsidR="00267A93">
        <w:rPr>
          <w:lang w:val="en-GB"/>
        </w:rPr>
        <w:t xml:space="preserve"> (</w:t>
      </w:r>
      <w:r w:rsidR="00267A93" w:rsidRPr="004E0018">
        <w:rPr>
          <w:color w:val="70AD47" w:themeColor="accent6"/>
          <w:lang w:val="en-GB"/>
        </w:rPr>
        <w:t>Hagtvedt and Patrick, 2016</w:t>
      </w:r>
      <w:r w:rsidR="00267A93" w:rsidRPr="00267A93">
        <w:rPr>
          <w:color w:val="FF0000"/>
          <w:lang w:val="en-GB"/>
        </w:rPr>
        <w:t>)</w:t>
      </w:r>
      <w:r w:rsidR="008977A1">
        <w:rPr>
          <w:lang w:val="en-GB"/>
        </w:rPr>
        <w:t xml:space="preserve">. Especially if client travel to poor countries, contributing to social and environmental causes can help reduce that perceived guilt and induce a feeling of having done something good. </w:t>
      </w:r>
    </w:p>
    <w:p w14:paraId="6F3BEE11" w14:textId="07B1BB31" w:rsidR="00267A93" w:rsidRDefault="00267A93" w:rsidP="00FD5E2E">
      <w:pPr>
        <w:contextualSpacing/>
        <w:rPr>
          <w:lang w:val="en-GB"/>
        </w:rPr>
      </w:pPr>
      <w:r>
        <w:rPr>
          <w:lang w:val="en-GB"/>
        </w:rPr>
        <w:t xml:space="preserve">However, by only doing this, TOs as such have not taken on responsibility on their own. One option is to apply for one of the </w:t>
      </w:r>
      <w:r w:rsidR="00F058E9" w:rsidRPr="00D44766">
        <w:rPr>
          <w:lang w:val="en-GB"/>
        </w:rPr>
        <w:t xml:space="preserve">certification schemes. </w:t>
      </w:r>
      <w:r w:rsidR="00320D3D">
        <w:rPr>
          <w:lang w:val="en-GB"/>
        </w:rPr>
        <w:t xml:space="preserve">The SME TO can get certified through </w:t>
      </w:r>
      <w:r w:rsidR="00AA538D">
        <w:rPr>
          <w:lang w:val="en-GB"/>
        </w:rPr>
        <w:t>these schemes</w:t>
      </w:r>
      <w:r w:rsidR="00320D3D">
        <w:rPr>
          <w:lang w:val="en-GB"/>
        </w:rPr>
        <w:t xml:space="preserve"> and also </w:t>
      </w:r>
      <w:r w:rsidR="008B3937" w:rsidRPr="00D44766">
        <w:rPr>
          <w:lang w:val="en-GB"/>
        </w:rPr>
        <w:t>ask their direct supplier</w:t>
      </w:r>
      <w:r w:rsidR="00E054D2" w:rsidRPr="00D44766">
        <w:rPr>
          <w:lang w:val="en-GB"/>
        </w:rPr>
        <w:t>s</w:t>
      </w:r>
      <w:r w:rsidR="008B3937" w:rsidRPr="00D44766">
        <w:rPr>
          <w:lang w:val="en-GB"/>
        </w:rPr>
        <w:t xml:space="preserve"> to get certified through one of the accredited certification bodies.</w:t>
      </w:r>
      <w:r w:rsidR="00320D3D">
        <w:rPr>
          <w:lang w:val="en-GB"/>
        </w:rPr>
        <w:t xml:space="preserve"> </w:t>
      </w:r>
      <w:r w:rsidR="008B3937" w:rsidRPr="00D44766">
        <w:rPr>
          <w:lang w:val="en-GB"/>
        </w:rPr>
        <w:t>As mentioned in the preceding chapters, the GSTC suggested various different certification bodies wh</w:t>
      </w:r>
      <w:r w:rsidR="00E054D2" w:rsidRPr="00D44766">
        <w:rPr>
          <w:lang w:val="en-GB"/>
        </w:rPr>
        <w:t>ich</w:t>
      </w:r>
      <w:r w:rsidR="008B3937" w:rsidRPr="00D44766">
        <w:rPr>
          <w:lang w:val="en-GB"/>
        </w:rPr>
        <w:t xml:space="preserve"> are following their guidelines. Those certification</w:t>
      </w:r>
      <w:r w:rsidR="008E0446" w:rsidRPr="00D44766">
        <w:rPr>
          <w:lang w:val="en-GB"/>
        </w:rPr>
        <w:t xml:space="preserve">s </w:t>
      </w:r>
      <w:r w:rsidR="008E0446" w:rsidRPr="00D44766">
        <w:rPr>
          <w:lang w:val="en-GB"/>
        </w:rPr>
        <w:lastRenderedPageBreak/>
        <w:t>do cost an annual membership fee which has to be borne by the</w:t>
      </w:r>
      <w:r w:rsidR="00320D3D">
        <w:rPr>
          <w:lang w:val="en-GB"/>
        </w:rPr>
        <w:t xml:space="preserve"> participant</w:t>
      </w:r>
      <w:r w:rsidR="008E0446" w:rsidRPr="00D44766">
        <w:rPr>
          <w:lang w:val="en-GB"/>
        </w:rPr>
        <w:t xml:space="preserve"> and usually does depend on the company size.</w:t>
      </w:r>
      <w:r w:rsidR="00A5188B" w:rsidRPr="00D44766">
        <w:rPr>
          <w:lang w:val="en-GB"/>
        </w:rPr>
        <w:t xml:space="preserve"> The certification bodies provide a guideline of what needs to be implemented and companies can independently work on this – often there also is no limited time horizon for this. Depending on the certificate which is aspired an auditing will take place and certificate granted. </w:t>
      </w:r>
      <w:r w:rsidR="00A2358C" w:rsidRPr="00D44766">
        <w:rPr>
          <w:lang w:val="en-GB"/>
        </w:rPr>
        <w:t>So,</w:t>
      </w:r>
      <w:r w:rsidR="00A5188B" w:rsidRPr="00D44766">
        <w:rPr>
          <w:lang w:val="en-GB"/>
        </w:rPr>
        <w:t xml:space="preserve"> </w:t>
      </w:r>
      <w:r w:rsidR="00E14B0A" w:rsidRPr="00D44766">
        <w:rPr>
          <w:lang w:val="en-GB"/>
        </w:rPr>
        <w:t>these certifications</w:t>
      </w:r>
      <w:r w:rsidR="00A5188B" w:rsidRPr="00D44766">
        <w:rPr>
          <w:lang w:val="en-GB"/>
        </w:rPr>
        <w:t xml:space="preserve"> can be a mean for TOs to get their direct suppliers to act in accordance </w:t>
      </w:r>
      <w:r w:rsidR="00E14B0A" w:rsidRPr="00D44766">
        <w:rPr>
          <w:lang w:val="en-GB"/>
        </w:rPr>
        <w:t>with</w:t>
      </w:r>
      <w:r w:rsidR="00A5188B" w:rsidRPr="00D44766">
        <w:rPr>
          <w:lang w:val="en-GB"/>
        </w:rPr>
        <w:t xml:space="preserve"> sustainable tourism measures and thus also take on CSR. </w:t>
      </w:r>
      <w:r>
        <w:rPr>
          <w:lang w:val="en-GB"/>
        </w:rPr>
        <w:t>T</w:t>
      </w:r>
      <w:r w:rsidR="00A5188B" w:rsidRPr="00D44766">
        <w:rPr>
          <w:lang w:val="en-GB"/>
        </w:rPr>
        <w:t xml:space="preserve">he trickle-down </w:t>
      </w:r>
      <w:r w:rsidR="009D0D88" w:rsidRPr="00D44766">
        <w:rPr>
          <w:lang w:val="en-GB"/>
        </w:rPr>
        <w:t>effect</w:t>
      </w:r>
      <w:r w:rsidR="00A5188B" w:rsidRPr="00D44766">
        <w:rPr>
          <w:lang w:val="en-GB"/>
        </w:rPr>
        <w:t xml:space="preserve"> would effectively lead to more TOs </w:t>
      </w:r>
      <w:r w:rsidR="00A2358C" w:rsidRPr="00D44766">
        <w:rPr>
          <w:lang w:val="en-GB"/>
        </w:rPr>
        <w:t>collaborating</w:t>
      </w:r>
      <w:r w:rsidR="00A5188B" w:rsidRPr="00D44766">
        <w:rPr>
          <w:lang w:val="en-GB"/>
        </w:rPr>
        <w:t xml:space="preserve"> with responsible local partners. </w:t>
      </w:r>
      <w:r w:rsidR="00320D3D">
        <w:rPr>
          <w:lang w:val="en-GB"/>
        </w:rPr>
        <w:t>However, on the side of the TO it means having dedicated staff to be involved in this process – to educate colleagues, to change systems and processes and to report the same.</w:t>
      </w:r>
      <w:r w:rsidR="002C592B">
        <w:rPr>
          <w:lang w:val="en-GB"/>
        </w:rPr>
        <w:t xml:space="preserve"> </w:t>
      </w:r>
      <w:r w:rsidR="00AA538D">
        <w:rPr>
          <w:lang w:val="en-GB"/>
        </w:rPr>
        <w:t>So,</w:t>
      </w:r>
      <w:r w:rsidR="00320D3D">
        <w:rPr>
          <w:lang w:val="en-GB"/>
        </w:rPr>
        <w:t xml:space="preserve"> this obviously is a cost factor which needs to be considered on the TO side</w:t>
      </w:r>
      <w:r w:rsidR="002C592B">
        <w:rPr>
          <w:lang w:val="en-GB"/>
        </w:rPr>
        <w:t xml:space="preserve"> as there either needs to be new staff employed particularly for this or existing staff has to take time aside from sales to incorporate </w:t>
      </w:r>
      <w:r w:rsidR="00AA538D">
        <w:rPr>
          <w:lang w:val="en-GB"/>
        </w:rPr>
        <w:t>these tasks</w:t>
      </w:r>
      <w:r w:rsidR="002C592B">
        <w:rPr>
          <w:lang w:val="en-GB"/>
        </w:rPr>
        <w:t xml:space="preserve"> into daily routing</w:t>
      </w:r>
      <w:r w:rsidR="00697E1C">
        <w:rPr>
          <w:lang w:val="en-GB"/>
        </w:rPr>
        <w:t xml:space="preserve"> resulting in less sales and less profit for the TO</w:t>
      </w:r>
      <w:r w:rsidR="002C592B">
        <w:rPr>
          <w:lang w:val="en-GB"/>
        </w:rPr>
        <w:t>. Another risk factor, when pushing for supplier to get certified h</w:t>
      </w:r>
      <w:r w:rsidR="00A5188B" w:rsidRPr="00D44766">
        <w:rPr>
          <w:lang w:val="en-GB"/>
        </w:rPr>
        <w:t xml:space="preserve">owever, </w:t>
      </w:r>
      <w:r w:rsidR="002C592B">
        <w:rPr>
          <w:lang w:val="en-GB"/>
        </w:rPr>
        <w:t xml:space="preserve">is </w:t>
      </w:r>
      <w:r w:rsidR="00A5188B" w:rsidRPr="00D44766">
        <w:rPr>
          <w:lang w:val="en-GB"/>
        </w:rPr>
        <w:t xml:space="preserve">the risk that suppliers are not willing to invest the time into such certifications and would eventually stop working with the respective TO. As described before, especially the SME TOs </w:t>
      </w:r>
      <w:r w:rsidR="00A2358C" w:rsidRPr="00D44766">
        <w:rPr>
          <w:lang w:val="en-GB"/>
        </w:rPr>
        <w:t>do not</w:t>
      </w:r>
      <w:r w:rsidR="00A5188B" w:rsidRPr="00D44766">
        <w:rPr>
          <w:lang w:val="en-GB"/>
        </w:rPr>
        <w:t xml:space="preserve"> have the influence and buying power to convince undiscerning suppliers and they would turn have to look for a new partner, which again comes with risks</w:t>
      </w:r>
      <w:r w:rsidR="00C53355" w:rsidRPr="00D44766">
        <w:rPr>
          <w:lang w:val="en-GB"/>
        </w:rPr>
        <w:t xml:space="preserve"> which are partly bound to the peculiarities about the tourism product/service. The only way to </w:t>
      </w:r>
      <w:r w:rsidR="00E14B0A" w:rsidRPr="00D44766">
        <w:rPr>
          <w:lang w:val="en-GB"/>
        </w:rPr>
        <w:t>assess</w:t>
      </w:r>
      <w:r w:rsidR="00C53355" w:rsidRPr="00D44766">
        <w:rPr>
          <w:lang w:val="en-GB"/>
        </w:rPr>
        <w:t xml:space="preserve"> a product is by either sending paying clients or investing time and money to send employees and even </w:t>
      </w:r>
      <w:r w:rsidR="00A2358C" w:rsidRPr="00D44766">
        <w:rPr>
          <w:lang w:val="en-GB"/>
        </w:rPr>
        <w:t>then,</w:t>
      </w:r>
      <w:r w:rsidR="00C53355" w:rsidRPr="00D44766">
        <w:rPr>
          <w:lang w:val="en-GB"/>
        </w:rPr>
        <w:t xml:space="preserve"> the same service quality cannot be repeated, which comes with the nature of services that involve human</w:t>
      </w:r>
      <w:r w:rsidR="00853501" w:rsidRPr="00D44766">
        <w:rPr>
          <w:lang w:val="en-GB"/>
        </w:rPr>
        <w:t xml:space="preserve"> interaction</w:t>
      </w:r>
      <w:r w:rsidR="00320D3D">
        <w:rPr>
          <w:lang w:val="en-GB"/>
        </w:rPr>
        <w:t xml:space="preserve">. </w:t>
      </w:r>
      <w:r>
        <w:rPr>
          <w:lang w:val="en-GB"/>
        </w:rPr>
        <w:t xml:space="preserve">The certification market at the moment is quite divers, with a number of certifications bodies for TOs but also for accommodation. Currently the market here, </w:t>
      </w:r>
      <w:r w:rsidR="00DD0FDA">
        <w:rPr>
          <w:lang w:val="en-GB"/>
        </w:rPr>
        <w:t>is also evolving and maturing. It can be carefully hypothesized that in the near future a consolidation will take place and only a few dominating certification bodies will emerge (</w:t>
      </w:r>
      <w:r w:rsidR="00DD0FDA" w:rsidRPr="00677C44">
        <w:rPr>
          <w:color w:val="70AD47" w:themeColor="accent6"/>
          <w:lang w:val="en-GB"/>
        </w:rPr>
        <w:t>Hielke</w:t>
      </w:r>
      <w:r w:rsidR="00677C44">
        <w:rPr>
          <w:color w:val="70AD47" w:themeColor="accent6"/>
          <w:lang w:val="en-GB"/>
        </w:rPr>
        <w:t>, 2023</w:t>
      </w:r>
      <w:r w:rsidR="00DD0FDA" w:rsidRPr="00677C44">
        <w:rPr>
          <w:color w:val="70AD47" w:themeColor="accent6"/>
          <w:lang w:val="en-GB"/>
        </w:rPr>
        <w:t>).</w:t>
      </w:r>
      <w:r w:rsidR="00DD0FDA">
        <w:rPr>
          <w:lang w:val="en-GB"/>
        </w:rPr>
        <w:t xml:space="preserve"> </w:t>
      </w:r>
    </w:p>
    <w:p w14:paraId="1ACF7340" w14:textId="53E5B76F" w:rsidR="00434B09" w:rsidRPr="00D44766" w:rsidRDefault="002765DF" w:rsidP="00FD5E2E">
      <w:pPr>
        <w:contextualSpacing/>
        <w:rPr>
          <w:lang w:val="en-GB"/>
        </w:rPr>
      </w:pPr>
      <w:r w:rsidRPr="00D44766">
        <w:rPr>
          <w:lang w:val="en-GB"/>
        </w:rPr>
        <w:t>Another option could be the way of CRM – caus</w:t>
      </w:r>
      <w:r w:rsidR="00A224E5" w:rsidRPr="00D44766">
        <w:rPr>
          <w:lang w:val="en-GB"/>
        </w:rPr>
        <w:t xml:space="preserve">e related donations which are tied to sales. Especially, due to the close relationship, SME TOs could get to know </w:t>
      </w:r>
      <w:r w:rsidR="00320D3D" w:rsidRPr="00D44766">
        <w:rPr>
          <w:lang w:val="en-GB"/>
        </w:rPr>
        <w:t>first-hand</w:t>
      </w:r>
      <w:r w:rsidR="00A224E5" w:rsidRPr="00D44766">
        <w:rPr>
          <w:lang w:val="en-GB"/>
        </w:rPr>
        <w:t xml:space="preserve"> from their suppliers, where support locally is needed the most. And then, a certain percentage of sales into this specific destination can then be donated</w:t>
      </w:r>
      <w:r w:rsidR="00DD0FDA">
        <w:rPr>
          <w:lang w:val="en-GB"/>
        </w:rPr>
        <w:t xml:space="preserve"> as it is done in various cases already.</w:t>
      </w:r>
      <w:r w:rsidR="00A224E5" w:rsidRPr="00D44766">
        <w:rPr>
          <w:lang w:val="en-GB"/>
        </w:rPr>
        <w:t xml:space="preserve"> </w:t>
      </w:r>
    </w:p>
    <w:p w14:paraId="264F7CEE" w14:textId="0A1201FC" w:rsidR="00A224E5" w:rsidRPr="00D44766" w:rsidRDefault="00813ECF" w:rsidP="00FD5E2E">
      <w:pPr>
        <w:contextualSpacing/>
        <w:rPr>
          <w:lang w:val="en-GB"/>
        </w:rPr>
      </w:pPr>
      <w:r w:rsidRPr="00D44766">
        <w:rPr>
          <w:lang w:val="en-GB"/>
        </w:rPr>
        <w:t>Leaving this aside</w:t>
      </w:r>
      <w:r w:rsidR="00A224E5" w:rsidRPr="00D44766">
        <w:rPr>
          <w:lang w:val="en-GB"/>
        </w:rPr>
        <w:t xml:space="preserve"> another approach</w:t>
      </w:r>
      <w:r w:rsidRPr="00D44766">
        <w:rPr>
          <w:lang w:val="en-GB"/>
        </w:rPr>
        <w:t xml:space="preserve">, </w:t>
      </w:r>
      <w:r w:rsidRPr="00B3285C">
        <w:rPr>
          <w:color w:val="70AD47" w:themeColor="accent6"/>
          <w:lang w:val="en-GB"/>
        </w:rPr>
        <w:t>Pérez-Pineda, Alcaraz and Colón (2017</w:t>
      </w:r>
      <w:r w:rsidRPr="00D44766">
        <w:rPr>
          <w:lang w:val="en-GB"/>
        </w:rPr>
        <w:t xml:space="preserve">) identified in their research, </w:t>
      </w:r>
      <w:r w:rsidR="00A224E5" w:rsidRPr="00D44766">
        <w:rPr>
          <w:lang w:val="en-GB"/>
        </w:rPr>
        <w:t xml:space="preserve">is </w:t>
      </w:r>
      <w:r w:rsidRPr="00D44766">
        <w:rPr>
          <w:lang w:val="en-GB"/>
        </w:rPr>
        <w:t xml:space="preserve">the concept </w:t>
      </w:r>
      <w:r w:rsidR="00E5276E" w:rsidRPr="00D44766">
        <w:rPr>
          <w:lang w:val="en-GB"/>
        </w:rPr>
        <w:t xml:space="preserve">first mentioned by Ryan </w:t>
      </w:r>
      <w:r w:rsidR="00E5276E" w:rsidRPr="00B3285C">
        <w:rPr>
          <w:color w:val="70AD47" w:themeColor="accent6"/>
          <w:lang w:val="en-GB"/>
        </w:rPr>
        <w:t>(2002</w:t>
      </w:r>
      <w:r w:rsidR="00E5276E" w:rsidRPr="00D44766">
        <w:rPr>
          <w:lang w:val="en-GB"/>
        </w:rPr>
        <w:t xml:space="preserve">) </w:t>
      </w:r>
      <w:r w:rsidRPr="00D44766">
        <w:rPr>
          <w:lang w:val="en-GB"/>
        </w:rPr>
        <w:t xml:space="preserve">of a </w:t>
      </w:r>
      <w:r w:rsidR="00E5276E" w:rsidRPr="00D44766">
        <w:rPr>
          <w:lang w:val="en-GB"/>
        </w:rPr>
        <w:t xml:space="preserve">“sustained value creation” </w:t>
      </w:r>
      <w:r w:rsidR="00A224E5" w:rsidRPr="00D44766">
        <w:rPr>
          <w:lang w:val="en-GB"/>
        </w:rPr>
        <w:t xml:space="preserve">which </w:t>
      </w:r>
      <w:r w:rsidR="00E5276E" w:rsidRPr="00D44766">
        <w:rPr>
          <w:lang w:val="en-GB"/>
        </w:rPr>
        <w:t>is finding more relevance throughout the literature</w:t>
      </w:r>
      <w:r w:rsidR="005E1D31" w:rsidRPr="00D44766">
        <w:rPr>
          <w:lang w:val="en-GB"/>
        </w:rPr>
        <w:t xml:space="preserve"> – which could also be a valuable approach for integrating more CSR-relevant actions into the travel and tourism industry</w:t>
      </w:r>
      <w:r w:rsidR="00E5276E" w:rsidRPr="00D44766">
        <w:rPr>
          <w:lang w:val="en-GB"/>
        </w:rPr>
        <w:t>. The concept – forming a part of business strategy, aims to create positive results for stakeholders like communities, the environment as well as tourist through productive relationships (</w:t>
      </w:r>
      <w:r w:rsidR="00E5276E" w:rsidRPr="00B3285C">
        <w:rPr>
          <w:color w:val="70AD47" w:themeColor="accent6"/>
          <w:lang w:val="en-GB"/>
        </w:rPr>
        <w:t xml:space="preserve">Ryan, </w:t>
      </w:r>
      <w:r w:rsidR="00E5276E" w:rsidRPr="00B3285C">
        <w:rPr>
          <w:color w:val="70AD47" w:themeColor="accent6"/>
          <w:lang w:val="en-GB"/>
        </w:rPr>
        <w:lastRenderedPageBreak/>
        <w:t>2002</w:t>
      </w:r>
      <w:r w:rsidR="00E5276E" w:rsidRPr="00D44766">
        <w:rPr>
          <w:lang w:val="en-GB"/>
        </w:rPr>
        <w:t xml:space="preserve">) with the relevant stakeholder groups who are being affected by </w:t>
      </w:r>
      <w:r w:rsidR="00A2358C" w:rsidRPr="00D44766">
        <w:rPr>
          <w:lang w:val="en-GB"/>
        </w:rPr>
        <w:t>company’s</w:t>
      </w:r>
      <w:r w:rsidR="00F62F37" w:rsidRPr="00D44766">
        <w:rPr>
          <w:lang w:val="en-GB"/>
        </w:rPr>
        <w:t xml:space="preserve"> operations</w:t>
      </w:r>
      <w:r w:rsidR="00E5276E" w:rsidRPr="00D44766">
        <w:rPr>
          <w:lang w:val="en-GB"/>
        </w:rPr>
        <w:t xml:space="preserve"> trying to achieve their corporate goals. Instead of mere reactive measures and activities </w:t>
      </w:r>
      <w:r w:rsidR="00E5276E" w:rsidRPr="00B3285C">
        <w:rPr>
          <w:color w:val="70AD47" w:themeColor="accent6"/>
          <w:lang w:val="en-GB"/>
        </w:rPr>
        <w:t>(</w:t>
      </w:r>
      <w:r w:rsidR="00E5276E" w:rsidRPr="00B3285C">
        <w:rPr>
          <w:rFonts w:cs="Times New Roman"/>
          <w:color w:val="70AD47" w:themeColor="accent6"/>
          <w:szCs w:val="24"/>
          <w:shd w:val="clear" w:color="auto" w:fill="FFFFFF"/>
          <w:lang w:val="en-GB"/>
        </w:rPr>
        <w:t>Rubio-Andrada, Alonso-Almeida, &amp; Rodrígues-Antón, 2011</w:t>
      </w:r>
      <w:r w:rsidR="00E5276E" w:rsidRPr="00D44766">
        <w:rPr>
          <w:rFonts w:cs="Times New Roman"/>
          <w:szCs w:val="24"/>
          <w:shd w:val="clear" w:color="auto" w:fill="FFFFFF"/>
          <w:lang w:val="en-GB"/>
        </w:rPr>
        <w:t>) relevant groups are included into the discussio</w:t>
      </w:r>
      <w:r w:rsidR="00FD5E2E" w:rsidRPr="00D44766">
        <w:rPr>
          <w:rFonts w:cs="Times New Roman"/>
          <w:szCs w:val="24"/>
          <w:shd w:val="clear" w:color="auto" w:fill="FFFFFF"/>
          <w:lang w:val="en-GB"/>
        </w:rPr>
        <w:t xml:space="preserve">n, which in essence resembles a stakeholder dialogue </w:t>
      </w:r>
      <w:r w:rsidR="00FD5E2E" w:rsidRPr="00D44766">
        <w:rPr>
          <w:lang w:val="en-GB"/>
        </w:rPr>
        <w:t>in order to establish sustainable tourism activities that add value and corporate as well as social benefits (</w:t>
      </w:r>
      <w:r w:rsidR="00FD5E2E" w:rsidRPr="00B3285C">
        <w:rPr>
          <w:color w:val="70AD47" w:themeColor="accent6"/>
          <w:lang w:val="en-GB"/>
        </w:rPr>
        <w:t>Rivera, 2004</w:t>
      </w:r>
      <w:r w:rsidR="00FD5E2E" w:rsidRPr="00D44766">
        <w:rPr>
          <w:lang w:val="en-GB"/>
        </w:rPr>
        <w:t xml:space="preserve">). </w:t>
      </w:r>
      <w:r w:rsidR="004616D3" w:rsidRPr="00D44766">
        <w:rPr>
          <w:lang w:val="en-GB"/>
        </w:rPr>
        <w:t>The concept is basically congruent with a shared value chain approach. All relevant stakeholders are being included to ensure that a value chain is developed which has a positive impact on the involved parties which fosters trust along the value chain and those involved (</w:t>
      </w:r>
      <w:r w:rsidR="004616D3" w:rsidRPr="00B3285C">
        <w:rPr>
          <w:color w:val="70AD47" w:themeColor="accent6"/>
          <w:lang w:val="en-GB"/>
        </w:rPr>
        <w:t>Gogoll and Wenke, 2017</w:t>
      </w:r>
      <w:r w:rsidR="004616D3" w:rsidRPr="00D44766">
        <w:rPr>
          <w:lang w:val="en-GB"/>
        </w:rPr>
        <w:t xml:space="preserve">). </w:t>
      </w:r>
      <w:r w:rsidR="00573BAF" w:rsidRPr="00D44766">
        <w:rPr>
          <w:lang w:val="en-GB"/>
        </w:rPr>
        <w:t>This approach is mostly suitable for regions/countries developing a destination – were occasionally also TOs are involved (see El Gouna in Egypt or Salalah in Oman, where the TO FTI and his major shareholder</w:t>
      </w:r>
      <w:r w:rsidR="00A54D93">
        <w:rPr>
          <w:lang w:val="en-GB"/>
        </w:rPr>
        <w:t xml:space="preserve"> Samih Sawiris</w:t>
      </w:r>
      <w:r w:rsidR="00573BAF" w:rsidRPr="00D44766">
        <w:rPr>
          <w:lang w:val="en-GB"/>
        </w:rPr>
        <w:t xml:space="preserve"> played a major role)</w:t>
      </w:r>
      <w:r w:rsidR="00DD0FDA">
        <w:rPr>
          <w:lang w:val="en-GB"/>
        </w:rPr>
        <w:t xml:space="preserve">. However, taking the multitude of stakeholders involved in tourism into account, </w:t>
      </w:r>
      <w:r w:rsidR="00AA538D">
        <w:rPr>
          <w:lang w:val="en-GB"/>
        </w:rPr>
        <w:t>these processes</w:t>
      </w:r>
      <w:r w:rsidR="00DD0FDA">
        <w:rPr>
          <w:lang w:val="en-GB"/>
        </w:rPr>
        <w:t xml:space="preserve"> are hardly executable including all stakeholders and hence a prioritization would have to be done. </w:t>
      </w:r>
      <w:r w:rsidR="004616D3" w:rsidRPr="00D44766">
        <w:rPr>
          <w:lang w:val="en-GB"/>
        </w:rPr>
        <w:t>While recognising these approaches to be very valuable in the development of a more sustainable destination development and tourism approach,</w:t>
      </w:r>
      <w:r w:rsidR="00DD0FDA">
        <w:rPr>
          <w:lang w:val="en-GB"/>
        </w:rPr>
        <w:t xml:space="preserve"> it’s not realistic for SME TOs</w:t>
      </w:r>
      <w:r w:rsidR="004616D3" w:rsidRPr="00D44766">
        <w:rPr>
          <w:lang w:val="en-GB"/>
        </w:rPr>
        <w:t xml:space="preserve">. Therefore, </w:t>
      </w:r>
      <w:r w:rsidR="00A2358C" w:rsidRPr="00D44766">
        <w:rPr>
          <w:lang w:val="en-GB"/>
        </w:rPr>
        <w:t>an</w:t>
      </w:r>
      <w:r w:rsidR="004616D3" w:rsidRPr="00D44766">
        <w:rPr>
          <w:lang w:val="en-GB"/>
        </w:rPr>
        <w:t xml:space="preserve"> approach through certifications</w:t>
      </w:r>
      <w:r w:rsidR="00A224E5" w:rsidRPr="00D44766">
        <w:rPr>
          <w:lang w:val="en-GB"/>
        </w:rPr>
        <w:t xml:space="preserve"> or cause related donations</w:t>
      </w:r>
      <w:r w:rsidR="004616D3" w:rsidRPr="00D44766">
        <w:rPr>
          <w:lang w:val="en-GB"/>
        </w:rPr>
        <w:t xml:space="preserve"> could be a first </w:t>
      </w:r>
      <w:r w:rsidR="00DC3B4E" w:rsidRPr="00D44766">
        <w:rPr>
          <w:lang w:val="en-GB"/>
        </w:rPr>
        <w:t xml:space="preserve">step and </w:t>
      </w:r>
      <w:r w:rsidR="004616D3" w:rsidRPr="00D44766">
        <w:rPr>
          <w:lang w:val="en-GB"/>
        </w:rPr>
        <w:t>easier to implement step during which SME TOs get guidance through the certification bodies</w:t>
      </w:r>
      <w:r w:rsidR="00DC3B4E" w:rsidRPr="00D44766">
        <w:rPr>
          <w:lang w:val="en-GB"/>
        </w:rPr>
        <w:t xml:space="preserve"> in how to become more sustainable themselves but also demand the same from their partners. Having gone through the process themselves, SME TOs can </w:t>
      </w:r>
      <w:r w:rsidR="00A2358C" w:rsidRPr="00D44766">
        <w:rPr>
          <w:lang w:val="en-GB"/>
        </w:rPr>
        <w:t>function as</w:t>
      </w:r>
      <w:r w:rsidR="00DC3B4E" w:rsidRPr="00D44766">
        <w:rPr>
          <w:lang w:val="en-GB"/>
        </w:rPr>
        <w:t xml:space="preserve"> leaders is in the industry and equally also explain their supplier partners what the processes entail and what the benefits are. </w:t>
      </w:r>
      <w:r w:rsidR="00DD0FDA">
        <w:rPr>
          <w:lang w:val="en-GB"/>
        </w:rPr>
        <w:t>In comparison to CRM- initiatives, which are easily to implement, certification will force TOs to review their supply chain</w:t>
      </w:r>
      <w:r w:rsidR="00753A11">
        <w:rPr>
          <w:lang w:val="en-GB"/>
        </w:rPr>
        <w:t xml:space="preserve"> and eventually adapt their businesses process. Despite all good intentions and willingness to invest into CSR, the foundation of the business still has to be kept viable and this is economic profitability; without this, CSR activities in whatever form cannot be conducted. To secure business and especially repeat business, traveller have to feel comfortable and trust the respective TO. </w:t>
      </w:r>
      <w:r w:rsidR="00DC3B4E" w:rsidRPr="00D44766">
        <w:rPr>
          <w:lang w:val="en-GB"/>
        </w:rPr>
        <w:t>For SME TOs</w:t>
      </w:r>
      <w:r w:rsidR="00753A11">
        <w:rPr>
          <w:lang w:val="en-GB"/>
        </w:rPr>
        <w:t>,</w:t>
      </w:r>
      <w:r w:rsidR="00DC3B4E" w:rsidRPr="00D44766">
        <w:rPr>
          <w:lang w:val="en-GB"/>
        </w:rPr>
        <w:t xml:space="preserve"> especially the once focusing on </w:t>
      </w:r>
      <w:r w:rsidR="00753A11">
        <w:rPr>
          <w:lang w:val="en-GB"/>
        </w:rPr>
        <w:t xml:space="preserve">private </w:t>
      </w:r>
      <w:r w:rsidR="00DC3B4E" w:rsidRPr="00D44766">
        <w:rPr>
          <w:lang w:val="en-GB"/>
        </w:rPr>
        <w:t xml:space="preserve">guided-roundtrips or </w:t>
      </w:r>
      <w:r w:rsidR="00753A11">
        <w:rPr>
          <w:lang w:val="en-GB"/>
        </w:rPr>
        <w:t xml:space="preserve">guided </w:t>
      </w:r>
      <w:r w:rsidR="00DC3B4E" w:rsidRPr="00D44766">
        <w:rPr>
          <w:lang w:val="en-GB"/>
        </w:rPr>
        <w:t>study</w:t>
      </w:r>
      <w:r w:rsidR="00F62F37" w:rsidRPr="00D44766">
        <w:rPr>
          <w:lang w:val="en-GB"/>
        </w:rPr>
        <w:t>-</w:t>
      </w:r>
      <w:r w:rsidR="00DC3B4E" w:rsidRPr="00D44766">
        <w:rPr>
          <w:lang w:val="en-GB"/>
        </w:rPr>
        <w:t>trips</w:t>
      </w:r>
      <w:r w:rsidR="00753A11">
        <w:rPr>
          <w:lang w:val="en-GB"/>
        </w:rPr>
        <w:t>, the local guide and communities become a key part in this. During such trip there is</w:t>
      </w:r>
      <w:r w:rsidR="00DC3B4E" w:rsidRPr="00D44766">
        <w:rPr>
          <w:lang w:val="en-GB"/>
        </w:rPr>
        <w:t xml:space="preserve"> a close interaction</w:t>
      </w:r>
      <w:r w:rsidR="00753A11">
        <w:rPr>
          <w:lang w:val="en-GB"/>
        </w:rPr>
        <w:t xml:space="preserve"> between the travellers and the local suppliers</w:t>
      </w:r>
      <w:r w:rsidR="00DC3B4E" w:rsidRPr="00D44766">
        <w:rPr>
          <w:lang w:val="en-GB"/>
        </w:rPr>
        <w:t xml:space="preserve"> over an extended period of time</w:t>
      </w:r>
      <w:r w:rsidR="00753A11">
        <w:rPr>
          <w:lang w:val="en-GB"/>
        </w:rPr>
        <w:t xml:space="preserve"> and hence, </w:t>
      </w:r>
      <w:r w:rsidR="00AA538D" w:rsidRPr="00D44766">
        <w:rPr>
          <w:lang w:val="en-GB"/>
        </w:rPr>
        <w:t>these local suppliers</w:t>
      </w:r>
      <w:r w:rsidR="00DC3B4E" w:rsidRPr="00D44766">
        <w:rPr>
          <w:lang w:val="en-GB"/>
        </w:rPr>
        <w:t xml:space="preserve"> usually become the</w:t>
      </w:r>
      <w:r w:rsidR="007E30B1" w:rsidRPr="00D44766">
        <w:rPr>
          <w:lang w:val="en-GB"/>
        </w:rPr>
        <w:t xml:space="preserve"> most crucial ambassador of the TO</w:t>
      </w:r>
      <w:r w:rsidR="00753A11">
        <w:rPr>
          <w:lang w:val="en-GB"/>
        </w:rPr>
        <w:t>s</w:t>
      </w:r>
      <w:r w:rsidR="007E30B1" w:rsidRPr="00D44766">
        <w:rPr>
          <w:lang w:val="en-GB"/>
        </w:rPr>
        <w:t xml:space="preserve"> in the destination – and paradoxically enough</w:t>
      </w:r>
      <w:r w:rsidR="00753A11">
        <w:rPr>
          <w:lang w:val="en-GB"/>
        </w:rPr>
        <w:t>,</w:t>
      </w:r>
      <w:r w:rsidR="007E30B1" w:rsidRPr="00D44766">
        <w:rPr>
          <w:lang w:val="en-GB"/>
        </w:rPr>
        <w:t xml:space="preserve"> these are </w:t>
      </w:r>
      <w:r w:rsidR="00753A11">
        <w:rPr>
          <w:lang w:val="en-GB"/>
        </w:rPr>
        <w:t>often</w:t>
      </w:r>
      <w:r w:rsidR="007E30B1" w:rsidRPr="00D44766">
        <w:rPr>
          <w:lang w:val="en-GB"/>
        </w:rPr>
        <w:t xml:space="preserve"> </w:t>
      </w:r>
      <w:r w:rsidR="00AA538D" w:rsidRPr="00D44766">
        <w:rPr>
          <w:lang w:val="en-GB"/>
        </w:rPr>
        <w:t>third-party</w:t>
      </w:r>
      <w:r w:rsidR="007E30B1" w:rsidRPr="00D44766">
        <w:rPr>
          <w:lang w:val="en-GB"/>
        </w:rPr>
        <w:t xml:space="preserve"> suppliers without any fixed/permanent contracts</w:t>
      </w:r>
      <w:r w:rsidR="00F62F37" w:rsidRPr="00D44766">
        <w:rPr>
          <w:lang w:val="en-GB"/>
        </w:rPr>
        <w:t xml:space="preserve"> most vulnerable to mistreatment in the chain</w:t>
      </w:r>
      <w:r w:rsidR="00753A11">
        <w:rPr>
          <w:lang w:val="en-GB"/>
        </w:rPr>
        <w:t xml:space="preserve"> (</w:t>
      </w:r>
      <w:r w:rsidR="00753A11" w:rsidRPr="0050131A">
        <w:rPr>
          <w:rFonts w:cs="Times New Roman"/>
          <w:color w:val="70AD47" w:themeColor="accent6"/>
          <w:lang w:val="en-GB"/>
        </w:rPr>
        <w:t>ECPAT International, 2022</w:t>
      </w:r>
      <w:r w:rsidR="00753A11">
        <w:rPr>
          <w:rFonts w:cs="Times New Roman"/>
          <w:color w:val="70AD47" w:themeColor="accent6"/>
          <w:lang w:val="en-GB"/>
        </w:rPr>
        <w:t>).</w:t>
      </w:r>
      <w:r w:rsidR="007E30B1" w:rsidRPr="00D44766">
        <w:rPr>
          <w:lang w:val="en-GB"/>
        </w:rPr>
        <w:t xml:space="preserve"> </w:t>
      </w:r>
      <w:r w:rsidR="00753A11">
        <w:rPr>
          <w:lang w:val="en-GB"/>
        </w:rPr>
        <w:t>It is irrespectively of the budget, if in a low-budget o</w:t>
      </w:r>
      <w:r w:rsidR="007E30B1" w:rsidRPr="00D44766">
        <w:rPr>
          <w:lang w:val="en-GB"/>
        </w:rPr>
        <w:t>r in a luxury environment</w:t>
      </w:r>
      <w:r w:rsidR="00753A11">
        <w:rPr>
          <w:lang w:val="en-GB"/>
        </w:rPr>
        <w:t>,</w:t>
      </w:r>
      <w:r w:rsidR="007E30B1" w:rsidRPr="00D44766">
        <w:rPr>
          <w:lang w:val="en-GB"/>
        </w:rPr>
        <w:t xml:space="preserve"> the influence</w:t>
      </w:r>
      <w:r w:rsidR="00F62F37" w:rsidRPr="00D44766">
        <w:rPr>
          <w:lang w:val="en-GB"/>
        </w:rPr>
        <w:t>s</w:t>
      </w:r>
      <w:r w:rsidR="007E30B1" w:rsidRPr="00D44766">
        <w:rPr>
          <w:lang w:val="en-GB"/>
        </w:rPr>
        <w:t xml:space="preserve"> third parties can have on the overall evaluation of the trip and thus, the reputation of the company is tremendous. </w:t>
      </w:r>
      <w:r w:rsidR="00753A11">
        <w:rPr>
          <w:lang w:val="en-GB"/>
        </w:rPr>
        <w:t xml:space="preserve">So, </w:t>
      </w:r>
      <w:r w:rsidR="00753A11">
        <w:rPr>
          <w:lang w:val="en-GB"/>
        </w:rPr>
        <w:lastRenderedPageBreak/>
        <w:t xml:space="preserve">for all TO segments, also for </w:t>
      </w:r>
      <w:r w:rsidR="007E30B1" w:rsidRPr="00D44766">
        <w:rPr>
          <w:lang w:val="en-GB"/>
        </w:rPr>
        <w:t xml:space="preserve">luxury travel, it also is inevitable to invest into CSR. </w:t>
      </w:r>
      <w:r w:rsidR="00A224E5" w:rsidRPr="00D44766">
        <w:rPr>
          <w:lang w:val="en-GB"/>
        </w:rPr>
        <w:t>As the preceding paragraph have shown</w:t>
      </w:r>
      <w:r w:rsidR="00753A11">
        <w:rPr>
          <w:lang w:val="en-GB"/>
        </w:rPr>
        <w:t>,</w:t>
      </w:r>
      <w:r w:rsidR="00A224E5" w:rsidRPr="00D44766">
        <w:rPr>
          <w:lang w:val="en-GB"/>
        </w:rPr>
        <w:t xml:space="preserve"> caring for environmental and social aspects has turned into an implicit need which needs to be acknowledged and included into business operations.</w:t>
      </w:r>
      <w:r w:rsidR="00A54D93">
        <w:rPr>
          <w:lang w:val="en-GB"/>
        </w:rPr>
        <w:t xml:space="preserve"> </w:t>
      </w:r>
      <w:r w:rsidR="007E30B1" w:rsidRPr="00D44766">
        <w:rPr>
          <w:lang w:val="en-GB"/>
        </w:rPr>
        <w:t xml:space="preserve">Fortunately, in the more upmarket segment, especially hotels have already started actioning along the triple bottom line and a number of hotel companies do have CSR activities in place. They often operate in highly vulnerable destinations/regions where the natural environment often is a key aspect and major part of the experience. Beside premium prices ranging up to multiple thousand US$ per night per person, they also charge conservations levies or other charges that will be collected and given back to the communities or other </w:t>
      </w:r>
      <w:r w:rsidR="00A2358C" w:rsidRPr="00D44766">
        <w:rPr>
          <w:lang w:val="en-GB"/>
        </w:rPr>
        <w:t>worthy causes</w:t>
      </w:r>
      <w:r w:rsidR="007E30B1" w:rsidRPr="00D44766">
        <w:rPr>
          <w:lang w:val="en-GB"/>
        </w:rPr>
        <w:t xml:space="preserve">. For </w:t>
      </w:r>
      <w:r w:rsidR="00A2358C" w:rsidRPr="00D44766">
        <w:rPr>
          <w:lang w:val="en-GB"/>
        </w:rPr>
        <w:t>example,</w:t>
      </w:r>
      <w:r w:rsidR="007E30B1" w:rsidRPr="00D44766">
        <w:rPr>
          <w:lang w:val="en-GB"/>
        </w:rPr>
        <w:t xml:space="preserve"> the safari company Asilia </w:t>
      </w:r>
      <w:r w:rsidR="00320D3D" w:rsidRPr="00D44766">
        <w:rPr>
          <w:lang w:val="en-GB"/>
        </w:rPr>
        <w:t>assigns</w:t>
      </w:r>
      <w:r w:rsidR="007E30B1" w:rsidRPr="00D44766">
        <w:rPr>
          <w:lang w:val="en-GB"/>
        </w:rPr>
        <w:t xml:space="preserve"> </w:t>
      </w:r>
      <w:r w:rsidR="000E2F04" w:rsidRPr="00D44766">
        <w:rPr>
          <w:lang w:val="en-GB"/>
        </w:rPr>
        <w:t>five US$ per night per person to their own charity foundation which supports wildlife projects and community projects in the areas they operate in</w:t>
      </w:r>
      <w:r w:rsidR="00A224E5" w:rsidRPr="00D44766">
        <w:rPr>
          <w:lang w:val="en-GB"/>
        </w:rPr>
        <w:t xml:space="preserve"> – which would also identify as cause-related donations.</w:t>
      </w:r>
      <w:r w:rsidR="000E2F04" w:rsidRPr="00D44766">
        <w:rPr>
          <w:lang w:val="en-GB"/>
        </w:rPr>
        <w:t xml:space="preserve"> The hotel chain Six Senses Hotels Resorts Spas (now belonging to IHG) assigns 0,5 percent of their revenue; 100 percent of soft toy sales and donations as well as 50 percent of their house-bottled water sales to local causes to improve quality of life for humans and nature affected by the operations. In their approach to </w:t>
      </w:r>
      <w:r w:rsidR="00A2358C" w:rsidRPr="00D44766">
        <w:rPr>
          <w:lang w:val="en-GB"/>
        </w:rPr>
        <w:t>sustainability,</w:t>
      </w:r>
      <w:r w:rsidR="000E2F04" w:rsidRPr="00D44766">
        <w:rPr>
          <w:lang w:val="en-GB"/>
        </w:rPr>
        <w:t xml:space="preserve"> they break it down to</w:t>
      </w:r>
      <w:r w:rsidR="00A224E5" w:rsidRPr="00D44766">
        <w:rPr>
          <w:lang w:val="en-GB"/>
        </w:rPr>
        <w:t>:</w:t>
      </w:r>
      <w:r w:rsidR="000E2F04" w:rsidRPr="00D44766">
        <w:rPr>
          <w:lang w:val="en-GB"/>
        </w:rPr>
        <w:t xml:space="preserve"> ‘</w:t>
      </w:r>
      <w:r w:rsidR="00E14B0A" w:rsidRPr="00D44766">
        <w:rPr>
          <w:lang w:val="en-GB"/>
        </w:rPr>
        <w:t>we</w:t>
      </w:r>
      <w:r w:rsidR="00E14B0A">
        <w:rPr>
          <w:lang w:val="en-GB"/>
        </w:rPr>
        <w:t>’</w:t>
      </w:r>
      <w:r w:rsidR="00E14B0A" w:rsidRPr="00D44766">
        <w:rPr>
          <w:lang w:val="en-GB"/>
        </w:rPr>
        <w:t>re</w:t>
      </w:r>
      <w:r w:rsidR="000E2F04" w:rsidRPr="00D44766">
        <w:rPr>
          <w:lang w:val="en-GB"/>
        </w:rPr>
        <w:t xml:space="preserve"> all part of the global community on a shared Earth. That’s why you don’t just observe the local heritage or ecology while you’re with us – you’re part of it. You can even help us give back to it’ (Six Senses Hotels Resort Spas, 2023). The impact they make is being reported on their corporate homepage. </w:t>
      </w:r>
    </w:p>
    <w:p w14:paraId="4E7D6889" w14:textId="5774D78B" w:rsidR="00917C75" w:rsidRPr="00D44766" w:rsidRDefault="00993384" w:rsidP="00FD5E2E">
      <w:pPr>
        <w:contextualSpacing/>
        <w:rPr>
          <w:lang w:val="en-GB"/>
        </w:rPr>
      </w:pPr>
      <w:r w:rsidRPr="00D44766">
        <w:rPr>
          <w:lang w:val="en-GB"/>
        </w:rPr>
        <w:t xml:space="preserve">Not only for hotels but for the entire destinations itself, a balance between the regional tourism development and the protection of environment and society </w:t>
      </w:r>
      <w:r w:rsidR="00A2358C" w:rsidRPr="00D44766">
        <w:rPr>
          <w:lang w:val="en-GB"/>
        </w:rPr>
        <w:t>needs</w:t>
      </w:r>
      <w:r w:rsidRPr="00D44766">
        <w:rPr>
          <w:lang w:val="en-GB"/>
        </w:rPr>
        <w:t xml:space="preserve"> to be achieved. Eventually, the level of sustainable development ca</w:t>
      </w:r>
      <w:r w:rsidR="004108A6" w:rsidRPr="00D44766">
        <w:rPr>
          <w:lang w:val="en-GB"/>
        </w:rPr>
        <w:t>n</w:t>
      </w:r>
      <w:r w:rsidRPr="00D44766">
        <w:rPr>
          <w:lang w:val="en-GB"/>
        </w:rPr>
        <w:t xml:space="preserve"> result in securing a long-term competitiveness over other destinations (</w:t>
      </w:r>
      <w:r w:rsidRPr="001F2D15">
        <w:rPr>
          <w:color w:val="70AD47" w:themeColor="accent6"/>
          <w:lang w:val="en-GB"/>
        </w:rPr>
        <w:t>Janusz and Baidor, 2013</w:t>
      </w:r>
      <w:r w:rsidRPr="00D44766">
        <w:rPr>
          <w:lang w:val="en-GB"/>
        </w:rPr>
        <w:t>).</w:t>
      </w:r>
      <w:r w:rsidR="004108A6" w:rsidRPr="00D44766">
        <w:rPr>
          <w:lang w:val="en-GB"/>
        </w:rPr>
        <w:t xml:space="preserve"> Additionally</w:t>
      </w:r>
      <w:r w:rsidR="00917C75" w:rsidRPr="00D44766">
        <w:rPr>
          <w:lang w:val="en-GB"/>
        </w:rPr>
        <w:t xml:space="preserve">, for many destinations with </w:t>
      </w:r>
      <w:r w:rsidR="00A2358C" w:rsidRPr="00D44766">
        <w:rPr>
          <w:lang w:val="en-GB"/>
        </w:rPr>
        <w:t>elevated level</w:t>
      </w:r>
      <w:r w:rsidR="00917C75" w:rsidRPr="00D44766">
        <w:rPr>
          <w:lang w:val="en-GB"/>
        </w:rPr>
        <w:t xml:space="preserve"> of poverty and a </w:t>
      </w:r>
      <w:r w:rsidR="00D44766" w:rsidRPr="00D44766">
        <w:rPr>
          <w:lang w:val="en-GB"/>
        </w:rPr>
        <w:t>vulnerable community</w:t>
      </w:r>
      <w:r w:rsidR="00917C75" w:rsidRPr="00D44766">
        <w:rPr>
          <w:lang w:val="en-GB"/>
        </w:rPr>
        <w:t xml:space="preserve">, private initiatives, like the once from the hotels </w:t>
      </w:r>
      <w:r w:rsidR="00975037">
        <w:rPr>
          <w:lang w:val="en-GB"/>
        </w:rPr>
        <w:t xml:space="preserve">and TO </w:t>
      </w:r>
      <w:r w:rsidR="00917C75" w:rsidRPr="00D44766">
        <w:rPr>
          <w:lang w:val="en-GB"/>
        </w:rPr>
        <w:t>can play a pivotal role in the development of these communities (</w:t>
      </w:r>
      <w:r w:rsidR="00917C75" w:rsidRPr="0002580A">
        <w:rPr>
          <w:color w:val="70AD47" w:themeColor="accent6"/>
          <w:lang w:val="en-GB"/>
        </w:rPr>
        <w:t>Croes, 2014</w:t>
      </w:r>
      <w:r w:rsidR="00917C75" w:rsidRPr="00D44766">
        <w:rPr>
          <w:lang w:val="en-GB"/>
        </w:rPr>
        <w:t xml:space="preserve">). </w:t>
      </w:r>
      <w:r w:rsidR="004108A6" w:rsidRPr="00D44766">
        <w:rPr>
          <w:lang w:val="en-GB"/>
        </w:rPr>
        <w:t xml:space="preserve">In the study of </w:t>
      </w:r>
      <w:r w:rsidR="004108A6" w:rsidRPr="0002580A">
        <w:rPr>
          <w:color w:val="70AD47" w:themeColor="accent6"/>
          <w:lang w:val="en-GB"/>
        </w:rPr>
        <w:t>Pérez-Pineda</w:t>
      </w:r>
      <w:r w:rsidR="0002580A" w:rsidRPr="0002580A">
        <w:rPr>
          <w:color w:val="70AD47" w:themeColor="accent6"/>
          <w:lang w:val="en-GB"/>
        </w:rPr>
        <w:t>, Alcaraz and Colón</w:t>
      </w:r>
      <w:r w:rsidR="004108A6" w:rsidRPr="0002580A">
        <w:rPr>
          <w:color w:val="70AD47" w:themeColor="accent6"/>
          <w:lang w:val="en-GB"/>
        </w:rPr>
        <w:t xml:space="preserve"> (2017</w:t>
      </w:r>
      <w:r w:rsidR="004108A6" w:rsidRPr="00D44766">
        <w:rPr>
          <w:lang w:val="en-GB"/>
        </w:rPr>
        <w:t>) one interviewee stated that often the donations coming from tourism activities are essentially needed to keep institutions like schools up an</w:t>
      </w:r>
      <w:r w:rsidR="00F62F37" w:rsidRPr="00D44766">
        <w:rPr>
          <w:lang w:val="en-GB"/>
        </w:rPr>
        <w:t>d</w:t>
      </w:r>
      <w:r w:rsidR="004108A6" w:rsidRPr="00D44766">
        <w:rPr>
          <w:lang w:val="en-GB"/>
        </w:rPr>
        <w:t xml:space="preserve"> running, prevent them from falling apart and being badly equipped. </w:t>
      </w:r>
    </w:p>
    <w:p w14:paraId="5E63394A" w14:textId="1BD71C44" w:rsidR="002A10D2" w:rsidRPr="00A8717A" w:rsidRDefault="00697E1C" w:rsidP="00FD5E2E">
      <w:pPr>
        <w:contextualSpacing/>
        <w:rPr>
          <w:lang w:val="en-GB"/>
        </w:rPr>
      </w:pPr>
      <w:r w:rsidRPr="00A8717A">
        <w:rPr>
          <w:lang w:val="en-GB"/>
        </w:rPr>
        <w:t>As aforementioned, this</w:t>
      </w:r>
      <w:r w:rsidR="004108A6" w:rsidRPr="00A8717A">
        <w:rPr>
          <w:lang w:val="en-GB"/>
        </w:rPr>
        <w:t xml:space="preserve"> sustainable benchmark does come with its price which cannot be neglected. Especially in individually, </w:t>
      </w:r>
      <w:r w:rsidR="00AA538D" w:rsidRPr="00A8717A">
        <w:rPr>
          <w:lang w:val="en-GB"/>
        </w:rPr>
        <w:t>family-owned</w:t>
      </w:r>
      <w:r w:rsidR="004108A6" w:rsidRPr="00A8717A">
        <w:rPr>
          <w:lang w:val="en-GB"/>
        </w:rPr>
        <w:t xml:space="preserve"> SME business in the tourism industry income vs. cost has to be considered </w:t>
      </w:r>
      <w:r w:rsidRPr="00A8717A">
        <w:rPr>
          <w:lang w:val="en-GB"/>
        </w:rPr>
        <w:t xml:space="preserve">and evaluated </w:t>
      </w:r>
      <w:r w:rsidR="004108A6" w:rsidRPr="00A8717A">
        <w:rPr>
          <w:lang w:val="en-GB"/>
        </w:rPr>
        <w:t>carefully (</w:t>
      </w:r>
      <w:r w:rsidR="004108A6" w:rsidRPr="00A8717A">
        <w:rPr>
          <w:color w:val="70AD47" w:themeColor="accent6"/>
          <w:lang w:val="en-GB"/>
        </w:rPr>
        <w:t>Tasci, 2017</w:t>
      </w:r>
      <w:r w:rsidR="004108A6" w:rsidRPr="00A8717A">
        <w:rPr>
          <w:lang w:val="en-GB"/>
        </w:rPr>
        <w:t>)</w:t>
      </w:r>
      <w:r w:rsidRPr="00A8717A">
        <w:rPr>
          <w:lang w:val="en-GB"/>
        </w:rPr>
        <w:t>.</w:t>
      </w:r>
      <w:r w:rsidR="004108A6" w:rsidRPr="00A8717A">
        <w:rPr>
          <w:lang w:val="en-GB"/>
        </w:rPr>
        <w:t xml:space="preserve"> </w:t>
      </w:r>
      <w:r w:rsidRPr="00A8717A">
        <w:rPr>
          <w:lang w:val="en-GB"/>
        </w:rPr>
        <w:t>Especially the  small TOs often simply don’t have the financial back-ups to employ a dedicated person taking care about incorporating CSR activities into their daily business. In</w:t>
      </w:r>
      <w:r w:rsidR="00CD6BCD" w:rsidRPr="00A8717A">
        <w:rPr>
          <w:lang w:val="en-GB"/>
        </w:rPr>
        <w:t xml:space="preserve"> an industry, which is characterised by low profit-margins,</w:t>
      </w:r>
      <w:r w:rsidRPr="00A8717A">
        <w:rPr>
          <w:lang w:val="en-GB"/>
        </w:rPr>
        <w:t xml:space="preserve"> the first and foremost concern </w:t>
      </w:r>
      <w:r w:rsidR="00CD6BCD" w:rsidRPr="00A8717A">
        <w:rPr>
          <w:lang w:val="en-GB"/>
        </w:rPr>
        <w:t xml:space="preserve">for the company is </w:t>
      </w:r>
      <w:r w:rsidRPr="00A8717A">
        <w:rPr>
          <w:lang w:val="en-GB"/>
        </w:rPr>
        <w:t>to</w:t>
      </w:r>
      <w:r w:rsidR="00CD6BCD" w:rsidRPr="00A8717A">
        <w:rPr>
          <w:lang w:val="en-GB"/>
        </w:rPr>
        <w:t xml:space="preserve"> cov</w:t>
      </w:r>
      <w:r w:rsidR="00CD6BCD" w:rsidRPr="00A8717A">
        <w:rPr>
          <w:lang w:val="en-GB"/>
        </w:rPr>
        <w:lastRenderedPageBreak/>
        <w:t xml:space="preserve">er all costs and to generate profit, which all too often is generated through large numbers of bookings or through high-value bookings. Nevertheless, it is inevitable that the entire industry does start to protect what eventually keeps their business alive. In this area of tension, compromises have to be found between tourism (its development) and the protection of the local life while equally </w:t>
      </w:r>
      <w:r w:rsidR="00A8717A" w:rsidRPr="00A8717A">
        <w:rPr>
          <w:lang w:val="en-GB"/>
        </w:rPr>
        <w:t xml:space="preserve">preserving income opportunities for those people dependent on tourism. As the </w:t>
      </w:r>
      <w:r w:rsidR="004108A6" w:rsidRPr="00A8717A">
        <w:rPr>
          <w:lang w:val="en-GB"/>
        </w:rPr>
        <w:t xml:space="preserve">president of Six Senses once said – they are still a hospitality company who try to act as sustainable as possible; but they are not a sustainability company additionally offering hospitality and accommodation services. </w:t>
      </w:r>
    </w:p>
    <w:p w14:paraId="5F701A86" w14:textId="2A4E608E" w:rsidR="00F62F37" w:rsidRPr="00D44766" w:rsidRDefault="000E2F04" w:rsidP="00F62F37">
      <w:pPr>
        <w:contextualSpacing/>
        <w:rPr>
          <w:lang w:val="en-GB"/>
        </w:rPr>
      </w:pPr>
      <w:r w:rsidRPr="00D44766">
        <w:rPr>
          <w:lang w:val="en-GB"/>
        </w:rPr>
        <w:t xml:space="preserve">Concluding from this – in the luxury segment, with clients willing to spend </w:t>
      </w:r>
      <w:r w:rsidR="00F62F37" w:rsidRPr="00D44766">
        <w:rPr>
          <w:lang w:val="en-GB"/>
        </w:rPr>
        <w:t xml:space="preserve">lager sums of </w:t>
      </w:r>
      <w:r w:rsidRPr="00D44766">
        <w:rPr>
          <w:lang w:val="en-GB"/>
        </w:rPr>
        <w:t xml:space="preserve"> money on holiday an</w:t>
      </w:r>
      <w:r w:rsidR="004108A6" w:rsidRPr="00D44766">
        <w:rPr>
          <w:lang w:val="en-GB"/>
        </w:rPr>
        <w:t>y</w:t>
      </w:r>
      <w:r w:rsidRPr="00D44766">
        <w:rPr>
          <w:lang w:val="en-GB"/>
        </w:rPr>
        <w:t>way</w:t>
      </w:r>
      <w:r w:rsidR="00993384" w:rsidRPr="00D44766">
        <w:rPr>
          <w:lang w:val="en-GB"/>
        </w:rPr>
        <w:t>s</w:t>
      </w:r>
      <w:r w:rsidRPr="00D44766">
        <w:rPr>
          <w:lang w:val="en-GB"/>
        </w:rPr>
        <w:t xml:space="preserve">, </w:t>
      </w:r>
      <w:r w:rsidR="00F62F37" w:rsidRPr="00D44766">
        <w:rPr>
          <w:lang w:val="en-GB"/>
        </w:rPr>
        <w:t xml:space="preserve">SME TOs do have a growing number of suppliers who are invested into CSR already and they can choose accordingly. </w:t>
      </w:r>
      <w:r w:rsidR="00D44766" w:rsidRPr="00D44766">
        <w:rPr>
          <w:lang w:val="en-GB"/>
        </w:rPr>
        <w:t>Obviously,</w:t>
      </w:r>
      <w:r w:rsidR="00F62F37" w:rsidRPr="00D44766">
        <w:rPr>
          <w:lang w:val="en-GB"/>
        </w:rPr>
        <w:t xml:space="preserve"> that does come with a time effort as constant education needs to happen and it can also not be imposed onto one person alone – the entire office needs to share that knowledge. </w:t>
      </w:r>
    </w:p>
    <w:p w14:paraId="601C0D1D" w14:textId="77777777" w:rsidR="00975037" w:rsidRDefault="00F62F37" w:rsidP="00BD4C57">
      <w:pPr>
        <w:contextualSpacing/>
        <w:rPr>
          <w:lang w:val="en-GB"/>
        </w:rPr>
      </w:pPr>
      <w:r w:rsidRPr="00D44766">
        <w:rPr>
          <w:lang w:val="en-GB"/>
        </w:rPr>
        <w:t>Having the paradox in mind, that tourist</w:t>
      </w:r>
      <w:r w:rsidR="00D44766">
        <w:rPr>
          <w:lang w:val="en-GB"/>
        </w:rPr>
        <w:t>s</w:t>
      </w:r>
      <w:r w:rsidRPr="00D44766">
        <w:rPr>
          <w:lang w:val="en-GB"/>
        </w:rPr>
        <w:t xml:space="preserve"> are attracted which equally is being destroyed through the tourism flows, it become inevitable that SME TOs start to get invested into CSR as well if they want to </w:t>
      </w:r>
      <w:r w:rsidR="00BD4C57" w:rsidRPr="00D44766">
        <w:rPr>
          <w:lang w:val="en-GB"/>
        </w:rPr>
        <w:t xml:space="preserve">remain in the business long-term. </w:t>
      </w:r>
      <w:r w:rsidR="00975037">
        <w:rPr>
          <w:lang w:val="en-GB"/>
        </w:rPr>
        <w:t xml:space="preserve">Disregarding these facts and considering more austere approach: chances that the scope of the Due Diligence will be extended to smaller TOs is not unlikely. Starting to review business processes and supply chains already can give an advantage over competitors in the future. Moreover, it will align SME TOs with the large TOs and the risk of falling behind is eradicated. </w:t>
      </w:r>
    </w:p>
    <w:p w14:paraId="4F9AE605" w14:textId="5C0C8E34" w:rsidR="00EB1DCF" w:rsidRDefault="00BD4C57" w:rsidP="00EB1DCF">
      <w:pPr>
        <w:contextualSpacing/>
        <w:rPr>
          <w:lang w:val="en-GB"/>
        </w:rPr>
      </w:pPr>
      <w:r w:rsidRPr="00D44766">
        <w:rPr>
          <w:lang w:val="en-GB"/>
        </w:rPr>
        <w:t xml:space="preserve">Despite the deviating views of consumers on CSR activities, SME TOs </w:t>
      </w:r>
      <w:r w:rsidR="00975037">
        <w:rPr>
          <w:lang w:val="en-GB"/>
        </w:rPr>
        <w:t>can take the opportunity and t</w:t>
      </w:r>
      <w:r w:rsidRPr="00D44766">
        <w:rPr>
          <w:lang w:val="en-GB"/>
        </w:rPr>
        <w:t xml:space="preserve">o educate and nudge their clients into </w:t>
      </w:r>
      <w:r w:rsidR="00975037">
        <w:rPr>
          <w:lang w:val="en-GB"/>
        </w:rPr>
        <w:t>a more responsible</w:t>
      </w:r>
      <w:r w:rsidRPr="00D44766">
        <w:rPr>
          <w:lang w:val="en-GB"/>
        </w:rPr>
        <w:t xml:space="preserve"> direction. As eventually though TOs alone cannot do the job – a major force accelerating this change and changing the trajectory of tourism are the </w:t>
      </w:r>
      <w:r w:rsidR="00A54D93" w:rsidRPr="00D44766">
        <w:rPr>
          <w:lang w:val="en-GB"/>
        </w:rPr>
        <w:t>travellers</w:t>
      </w:r>
      <w:r w:rsidRPr="00D44766">
        <w:rPr>
          <w:lang w:val="en-GB"/>
        </w:rPr>
        <w:t xml:space="preserve"> themselves (</w:t>
      </w:r>
      <w:r w:rsidRPr="001F2D15">
        <w:rPr>
          <w:color w:val="70AD47" w:themeColor="accent6"/>
          <w:lang w:val="en-GB"/>
        </w:rPr>
        <w:t>Miller, 2001</w:t>
      </w:r>
      <w:r w:rsidRPr="00D44766">
        <w:rPr>
          <w:lang w:val="en-GB"/>
        </w:rPr>
        <w:t xml:space="preserve">). Through their behaviour they can add a valuable aspect in changing the impacts of tourism. </w:t>
      </w:r>
      <w:r w:rsidR="003F2000">
        <w:rPr>
          <w:lang w:val="en-GB"/>
        </w:rPr>
        <w:t xml:space="preserve">With a lack of demand </w:t>
      </w:r>
      <w:r w:rsidR="00D44766">
        <w:rPr>
          <w:lang w:val="en-GB"/>
        </w:rPr>
        <w:t>throughout the g</w:t>
      </w:r>
      <w:r w:rsidRPr="00D44766">
        <w:rPr>
          <w:lang w:val="en-GB"/>
        </w:rPr>
        <w:t>reat</w:t>
      </w:r>
      <w:r w:rsidR="00D44766">
        <w:rPr>
          <w:lang w:val="en-GB"/>
        </w:rPr>
        <w:t>er part of society</w:t>
      </w:r>
      <w:r w:rsidRPr="00D44766">
        <w:rPr>
          <w:lang w:val="en-GB"/>
        </w:rPr>
        <w:t xml:space="preserve"> </w:t>
      </w:r>
      <w:r w:rsidR="003F2000">
        <w:rPr>
          <w:lang w:val="en-GB"/>
        </w:rPr>
        <w:t xml:space="preserve">it is the responsibility </w:t>
      </w:r>
      <w:r w:rsidRPr="00D44766">
        <w:rPr>
          <w:lang w:val="en-GB"/>
        </w:rPr>
        <w:t>to the</w:t>
      </w:r>
      <w:r w:rsidR="003F2000">
        <w:rPr>
          <w:lang w:val="en-GB"/>
        </w:rPr>
        <w:t xml:space="preserve"> supplier</w:t>
      </w:r>
      <w:r w:rsidRPr="00D44766">
        <w:rPr>
          <w:lang w:val="en-GB"/>
        </w:rPr>
        <w:t xml:space="preserve"> side to push for </w:t>
      </w:r>
      <w:r w:rsidR="003F2000">
        <w:rPr>
          <w:lang w:val="en-GB"/>
        </w:rPr>
        <w:t>forms of</w:t>
      </w:r>
      <w:r w:rsidRPr="00D44766">
        <w:rPr>
          <w:lang w:val="en-GB"/>
        </w:rPr>
        <w:t xml:space="preserve"> tourism which </w:t>
      </w:r>
      <w:r w:rsidR="003F2000">
        <w:rPr>
          <w:lang w:val="en-GB"/>
        </w:rPr>
        <w:t>are</w:t>
      </w:r>
      <w:r w:rsidRPr="00D44766">
        <w:rPr>
          <w:lang w:val="en-GB"/>
        </w:rPr>
        <w:t xml:space="preserve"> sustainable</w:t>
      </w:r>
      <w:r w:rsidR="003F2000">
        <w:rPr>
          <w:lang w:val="en-GB"/>
        </w:rPr>
        <w:t xml:space="preserve"> and to transform tourism towards a socially and environmentally friendly option. The call is not on individual sectors of the supplier </w:t>
      </w:r>
      <w:r w:rsidR="00AA538D">
        <w:rPr>
          <w:lang w:val="en-GB"/>
        </w:rPr>
        <w:t>side,</w:t>
      </w:r>
      <w:r w:rsidR="003F2000">
        <w:rPr>
          <w:lang w:val="en-GB"/>
        </w:rPr>
        <w:t xml:space="preserve"> but a multi-stakeholder approach is needed: Destinations and their regional governments, DMCs, TOs and TAs are </w:t>
      </w:r>
      <w:r w:rsidR="00A47BA8">
        <w:rPr>
          <w:lang w:val="en-GB"/>
        </w:rPr>
        <w:t>in a tight spot</w:t>
      </w:r>
      <w:r w:rsidR="003F2000">
        <w:rPr>
          <w:lang w:val="en-GB"/>
        </w:rPr>
        <w:t xml:space="preserve"> to initiate change if they want to secure the basis for the future business success. </w:t>
      </w:r>
    </w:p>
    <w:p w14:paraId="5B4C1816" w14:textId="77777777" w:rsidR="00B4007E" w:rsidRDefault="00B4007E" w:rsidP="00EB1DCF">
      <w:pPr>
        <w:contextualSpacing/>
        <w:rPr>
          <w:lang w:val="en-GB"/>
        </w:rPr>
      </w:pPr>
    </w:p>
    <w:p w14:paraId="1B19FF67" w14:textId="30C09619" w:rsidR="00981DF9" w:rsidRPr="00EB1DCF" w:rsidRDefault="00981DF9" w:rsidP="00EB1DCF">
      <w:pPr>
        <w:pStyle w:val="berschrift1"/>
        <w:rPr>
          <w:lang w:val="en-GB"/>
        </w:rPr>
      </w:pPr>
      <w:bookmarkStart w:id="67" w:name="_Toc143330997"/>
      <w:bookmarkStart w:id="68" w:name="_Toc143361664"/>
      <w:r w:rsidRPr="006767F6">
        <w:rPr>
          <w:lang w:val="en-GB"/>
        </w:rPr>
        <w:t xml:space="preserve">6. </w:t>
      </w:r>
      <w:r w:rsidR="00782DA1" w:rsidRPr="006767F6">
        <w:rPr>
          <w:lang w:val="en-GB"/>
        </w:rPr>
        <w:t>Conclusion</w:t>
      </w:r>
      <w:bookmarkEnd w:id="67"/>
      <w:bookmarkEnd w:id="68"/>
    </w:p>
    <w:p w14:paraId="387D4577" w14:textId="5015602E" w:rsidR="001A4631" w:rsidRDefault="00D9330E" w:rsidP="00BD4C57">
      <w:pPr>
        <w:contextualSpacing/>
        <w:rPr>
          <w:lang w:val="en-GB"/>
        </w:rPr>
      </w:pPr>
      <w:r>
        <w:rPr>
          <w:lang w:val="en-GB"/>
        </w:rPr>
        <w:lastRenderedPageBreak/>
        <w:t xml:space="preserve">For a long-time already, the several </w:t>
      </w:r>
      <w:r w:rsidR="00AA538D">
        <w:rPr>
          <w:lang w:val="en-GB"/>
        </w:rPr>
        <w:t>stakeholders</w:t>
      </w:r>
      <w:r>
        <w:rPr>
          <w:lang w:val="en-GB"/>
        </w:rPr>
        <w:t xml:space="preserve"> have demanded players of the tourism industry to become more sustainable and to take on responsibility for the consequences that </w:t>
      </w:r>
      <w:r w:rsidR="00AA538D">
        <w:rPr>
          <w:lang w:val="en-GB"/>
        </w:rPr>
        <w:t>ever-increasing</w:t>
      </w:r>
      <w:r>
        <w:rPr>
          <w:lang w:val="en-GB"/>
        </w:rPr>
        <w:t xml:space="preserve"> tourism numbers cause on the local natural and social environment. </w:t>
      </w:r>
      <w:r w:rsidR="006767F6">
        <w:rPr>
          <w:lang w:val="en-GB"/>
        </w:rPr>
        <w:t xml:space="preserve">Even before COVID, official bodies like the UNWTO demanded to respect and incorporate the SDGs into business operations; </w:t>
      </w:r>
      <w:r w:rsidR="00AA538D">
        <w:rPr>
          <w:lang w:val="en-GB"/>
        </w:rPr>
        <w:t>however,</w:t>
      </w:r>
      <w:r w:rsidR="006767F6">
        <w:rPr>
          <w:lang w:val="en-GB"/>
        </w:rPr>
        <w:t xml:space="preserve"> while equally promoting constant tourism growth</w:t>
      </w:r>
      <w:r w:rsidR="00677C44">
        <w:rPr>
          <w:lang w:val="en-GB"/>
        </w:rPr>
        <w:t xml:space="preserve"> </w:t>
      </w:r>
      <w:r w:rsidR="00677C44" w:rsidRPr="00677C44">
        <w:rPr>
          <w:color w:val="70AD47" w:themeColor="accent6"/>
          <w:lang w:val="en-GB"/>
        </w:rPr>
        <w:t>(Soratana et al., 2021</w:t>
      </w:r>
      <w:r w:rsidR="00677C44">
        <w:rPr>
          <w:lang w:val="en-GB"/>
        </w:rPr>
        <w:t>)</w:t>
      </w:r>
      <w:r w:rsidR="006767F6">
        <w:rPr>
          <w:lang w:val="en-GB"/>
        </w:rPr>
        <w:t xml:space="preserve">. </w:t>
      </w:r>
    </w:p>
    <w:p w14:paraId="7113AE7E" w14:textId="5F2C8243" w:rsidR="00981DF9" w:rsidRDefault="0032779E" w:rsidP="00BD4C57">
      <w:pPr>
        <w:contextualSpacing/>
        <w:rPr>
          <w:lang w:val="en-GB"/>
        </w:rPr>
      </w:pPr>
      <w:r>
        <w:rPr>
          <w:lang w:val="en-GB"/>
        </w:rPr>
        <w:t>During the COVID pandemic, whe</w:t>
      </w:r>
      <w:r w:rsidR="001A4631">
        <w:rPr>
          <w:lang w:val="en-GB"/>
        </w:rPr>
        <w:t>n</w:t>
      </w:r>
      <w:r>
        <w:rPr>
          <w:lang w:val="en-GB"/>
        </w:rPr>
        <w:t xml:space="preserve"> tourism came to stand still, the dilemma of the industry became very clearly evident. While in many places the natural environment recovered and started to flourish again, the societal consequence </w:t>
      </w:r>
      <w:r w:rsidR="00AA538D">
        <w:rPr>
          <w:lang w:val="en-GB"/>
        </w:rPr>
        <w:t>was</w:t>
      </w:r>
      <w:r>
        <w:rPr>
          <w:lang w:val="en-GB"/>
        </w:rPr>
        <w:t xml:space="preserve"> tremendous. Millions of jobs in partly highly on tourism dependent destination were at stake and people lost the basis of their livelihood</w:t>
      </w:r>
      <w:r w:rsidR="00677C44">
        <w:rPr>
          <w:lang w:val="en-GB"/>
        </w:rPr>
        <w:t xml:space="preserve"> (</w:t>
      </w:r>
      <w:r w:rsidR="00677C44" w:rsidRPr="00677C44">
        <w:rPr>
          <w:color w:val="70AD47" w:themeColor="accent6"/>
          <w:lang w:val="en-GB"/>
        </w:rPr>
        <w:t>UNWTO, 2023</w:t>
      </w:r>
      <w:r w:rsidR="00474ECE">
        <w:rPr>
          <w:color w:val="70AD47" w:themeColor="accent6"/>
          <w:lang w:val="en-GB"/>
        </w:rPr>
        <w:t>a</w:t>
      </w:r>
      <w:r w:rsidR="00677C44">
        <w:rPr>
          <w:lang w:val="en-GB"/>
        </w:rPr>
        <w:t>)</w:t>
      </w:r>
      <w:r>
        <w:rPr>
          <w:lang w:val="en-GB"/>
        </w:rPr>
        <w:t xml:space="preserve">. Following COVID calls for a more sustainable and responsible form of tourism were yet again became loud. Tourism can be regarded as major driver for economic growth especially in developing countries </w:t>
      </w:r>
      <w:r w:rsidR="00677C44" w:rsidRPr="00D44766">
        <w:rPr>
          <w:lang w:val="en-GB"/>
        </w:rPr>
        <w:t>(</w:t>
      </w:r>
      <w:r w:rsidR="00677C44" w:rsidRPr="00677C44">
        <w:rPr>
          <w:color w:val="70AD47" w:themeColor="accent6"/>
          <w:lang w:val="en-GB"/>
        </w:rPr>
        <w:t xml:space="preserve">Kataya, 2021; UNWTO, 2021a; Gossling, 2012; Gumede </w:t>
      </w:r>
      <w:r w:rsidR="00733803">
        <w:rPr>
          <w:color w:val="70AD47" w:themeColor="accent6"/>
          <w:lang w:val="en-GB"/>
        </w:rPr>
        <w:t>and</w:t>
      </w:r>
      <w:r w:rsidR="00677C44" w:rsidRPr="00677C44">
        <w:rPr>
          <w:color w:val="70AD47" w:themeColor="accent6"/>
          <w:lang w:val="en-GB"/>
        </w:rPr>
        <w:t xml:space="preserve"> Nzama, 2019; Manrai</w:t>
      </w:r>
      <w:r w:rsidR="00A352E2">
        <w:rPr>
          <w:color w:val="70AD47" w:themeColor="accent6"/>
          <w:lang w:val="en-GB"/>
        </w:rPr>
        <w:t>, Lascu and Manrai</w:t>
      </w:r>
      <w:r w:rsidR="00677C44" w:rsidRPr="00677C44">
        <w:rPr>
          <w:color w:val="70AD47" w:themeColor="accent6"/>
          <w:lang w:val="en-GB"/>
        </w:rPr>
        <w:t>, 2020</w:t>
      </w:r>
      <w:r w:rsidR="00677C44">
        <w:rPr>
          <w:lang w:val="en-GB"/>
        </w:rPr>
        <w:t>)</w:t>
      </w:r>
      <w:r w:rsidR="00677C44" w:rsidRPr="00D44766">
        <w:rPr>
          <w:lang w:val="en-GB"/>
        </w:rPr>
        <w:t xml:space="preserve"> </w:t>
      </w:r>
      <w:r>
        <w:rPr>
          <w:lang w:val="en-GB"/>
        </w:rPr>
        <w:t xml:space="preserve">and the industry and tourism related industries have provided </w:t>
      </w:r>
      <w:r w:rsidR="00D031A9">
        <w:rPr>
          <w:lang w:val="en-GB"/>
        </w:rPr>
        <w:t xml:space="preserve">an income for countless people world-wide. Simultaneously though, it can pose a major threat on the local culture and environment. The paradox of tourism – what attract tourist flow will eventually be harmed by the very same. When demanding tourism growth and tourism development to stop this has to be carefully considered. There is not only </w:t>
      </w:r>
      <w:r w:rsidR="00AA538D">
        <w:rPr>
          <w:lang w:val="en-GB"/>
        </w:rPr>
        <w:t>an</w:t>
      </w:r>
      <w:r w:rsidR="00D031A9">
        <w:rPr>
          <w:lang w:val="en-GB"/>
        </w:rPr>
        <w:t xml:space="preserve"> ecological side but also </w:t>
      </w:r>
      <w:r w:rsidR="00AA538D">
        <w:rPr>
          <w:lang w:val="en-GB"/>
        </w:rPr>
        <w:t>a</w:t>
      </w:r>
      <w:r w:rsidR="00D031A9">
        <w:rPr>
          <w:lang w:val="en-GB"/>
        </w:rPr>
        <w:t xml:space="preserve"> social and economic side. This triple bottom line has to be evaluated and priorities have to be defined. What might help the environment can have a severe effect on the community and also on the economy</w:t>
      </w:r>
      <w:r w:rsidR="00AB4EB3">
        <w:rPr>
          <w:lang w:val="en-GB"/>
        </w:rPr>
        <w:t>; so there always is a trade-off which needs to be considered.</w:t>
      </w:r>
    </w:p>
    <w:p w14:paraId="2966A128" w14:textId="68E4355A" w:rsidR="00EB1DCF" w:rsidRDefault="00D031A9" w:rsidP="00BD4C57">
      <w:pPr>
        <w:contextualSpacing/>
        <w:rPr>
          <w:lang w:val="en-GB"/>
        </w:rPr>
      </w:pPr>
      <w:r>
        <w:rPr>
          <w:lang w:val="en-GB"/>
        </w:rPr>
        <w:t xml:space="preserve">The tourism system is a highly complex system underlying various influences and interdependence which also have to reviewed and assessed in an effort to change the industry’s approach to sustainability. </w:t>
      </w:r>
      <w:r w:rsidR="00E61660">
        <w:rPr>
          <w:lang w:val="en-GB"/>
        </w:rPr>
        <w:t xml:space="preserve">In Germany alone, there are 2.300 TOs </w:t>
      </w:r>
      <w:r w:rsidR="00B04EC4">
        <w:rPr>
          <w:lang w:val="en-GB"/>
        </w:rPr>
        <w:t>(</w:t>
      </w:r>
      <w:r w:rsidR="00B04EC4" w:rsidRPr="00B04EC4">
        <w:rPr>
          <w:color w:val="70AD47" w:themeColor="accent6"/>
          <w:lang w:val="en-GB"/>
        </w:rPr>
        <w:t>DRV, 2021</w:t>
      </w:r>
      <w:r w:rsidR="00B04EC4">
        <w:rPr>
          <w:lang w:val="en-GB"/>
        </w:rPr>
        <w:t xml:space="preserve">) </w:t>
      </w:r>
      <w:r w:rsidR="00E61660">
        <w:rPr>
          <w:lang w:val="en-GB"/>
        </w:rPr>
        <w:t xml:space="preserve">with very different approaches to travel. </w:t>
      </w:r>
      <w:r w:rsidR="001A4631">
        <w:rPr>
          <w:lang w:val="en-GB"/>
        </w:rPr>
        <w:t xml:space="preserve">One of the latest niche </w:t>
      </w:r>
      <w:r w:rsidR="00AA538D">
        <w:rPr>
          <w:lang w:val="en-GB"/>
        </w:rPr>
        <w:t>developments</w:t>
      </w:r>
      <w:r w:rsidR="001A4631">
        <w:rPr>
          <w:lang w:val="en-GB"/>
        </w:rPr>
        <w:t xml:space="preserve"> are TOs focusing on luxury travel, meaning the average spending is much higher. Throughout the</w:t>
      </w:r>
      <w:r w:rsidR="00F11473">
        <w:rPr>
          <w:lang w:val="en-GB"/>
        </w:rPr>
        <w:t xml:space="preserve"> literature</w:t>
      </w:r>
      <w:r w:rsidR="00B04EC4">
        <w:rPr>
          <w:lang w:val="en-GB"/>
        </w:rPr>
        <w:t>, re</w:t>
      </w:r>
      <w:r w:rsidR="00F11473">
        <w:rPr>
          <w:lang w:val="en-GB"/>
        </w:rPr>
        <w:t>search on CSR in the luxury, especially in the luxury service industry is still scarce</w:t>
      </w:r>
      <w:r w:rsidR="00B04EC4">
        <w:rPr>
          <w:lang w:val="en-GB"/>
        </w:rPr>
        <w:t xml:space="preserve"> and only recently attracted research attention (</w:t>
      </w:r>
      <w:r w:rsidR="00B04EC4" w:rsidRPr="00B04EC4">
        <w:rPr>
          <w:color w:val="70AD47" w:themeColor="accent6"/>
          <w:lang w:val="en-GB"/>
        </w:rPr>
        <w:t>Thomsen et al. 2020)</w:t>
      </w:r>
      <w:r w:rsidR="00F11473" w:rsidRPr="00B04EC4">
        <w:rPr>
          <w:color w:val="70AD47" w:themeColor="accent6"/>
          <w:lang w:val="en-GB"/>
        </w:rPr>
        <w:t>.</w:t>
      </w:r>
      <w:r w:rsidR="00F11473">
        <w:rPr>
          <w:lang w:val="en-GB"/>
        </w:rPr>
        <w:t xml:space="preserve"> Especially for </w:t>
      </w:r>
      <w:r w:rsidR="00AA538D">
        <w:rPr>
          <w:lang w:val="en-GB"/>
        </w:rPr>
        <w:t>luxury focused</w:t>
      </w:r>
      <w:r w:rsidR="00F11473">
        <w:rPr>
          <w:lang w:val="en-GB"/>
        </w:rPr>
        <w:t xml:space="preserve"> TOs though it can be crucial to understand how their clients perceive and react to CSR activities. </w:t>
      </w:r>
      <w:r w:rsidR="00AB4EB3">
        <w:rPr>
          <w:lang w:val="en-GB"/>
        </w:rPr>
        <w:t xml:space="preserve">In tourism CSR is a way of reaching a more sustainable and responsible form of tourism. </w:t>
      </w:r>
      <w:r w:rsidR="00F11473">
        <w:rPr>
          <w:lang w:val="en-GB"/>
        </w:rPr>
        <w:t>CSR has a variation of definitions</w:t>
      </w:r>
      <w:r w:rsidR="00AB4EB3">
        <w:rPr>
          <w:lang w:val="en-GB"/>
        </w:rPr>
        <w:t xml:space="preserve"> and can be regarded </w:t>
      </w:r>
      <w:r w:rsidR="00AB4EB3" w:rsidRPr="00AB4EB3">
        <w:rPr>
          <w:lang w:val="en-GB"/>
        </w:rPr>
        <w:t>as</w:t>
      </w:r>
      <w:r w:rsidR="00F11473" w:rsidRPr="00AB4EB3">
        <w:rPr>
          <w:lang w:val="en-GB"/>
        </w:rPr>
        <w:t xml:space="preserve"> </w:t>
      </w:r>
      <w:r w:rsidR="00AB4EB3" w:rsidRPr="00AB4EB3">
        <w:rPr>
          <w:lang w:val="en-GB"/>
        </w:rPr>
        <w:t xml:space="preserve">a highly complex construct. </w:t>
      </w:r>
      <w:r w:rsidR="00AB4EB3">
        <w:rPr>
          <w:lang w:val="en-GB"/>
        </w:rPr>
        <w:t xml:space="preserve">At </w:t>
      </w:r>
      <w:r w:rsidR="00F11473">
        <w:rPr>
          <w:lang w:val="en-GB"/>
        </w:rPr>
        <w:t>the core based on the ISO definition implies that organizations need to take over responsibility for their actions and the consequence those have on society and environment to foster a sustainable de</w:t>
      </w:r>
      <w:r w:rsidR="00F11473">
        <w:rPr>
          <w:lang w:val="en-GB"/>
        </w:rPr>
        <w:lastRenderedPageBreak/>
        <w:t>velopment. As there is no generally agree</w:t>
      </w:r>
      <w:r w:rsidR="00AA538D">
        <w:rPr>
          <w:lang w:val="en-GB"/>
        </w:rPr>
        <w:t>d</w:t>
      </w:r>
      <w:r w:rsidR="00F11473">
        <w:rPr>
          <w:lang w:val="en-GB"/>
        </w:rPr>
        <w:t xml:space="preserve"> definition CSR can also be seen as an umbrella term for various different activities. As benefits of a socially and environmentally</w:t>
      </w:r>
      <w:r w:rsidR="00605514">
        <w:rPr>
          <w:lang w:val="en-GB"/>
        </w:rPr>
        <w:t xml:space="preserve">- </w:t>
      </w:r>
      <w:r w:rsidR="00605514" w:rsidRPr="00677C44">
        <w:rPr>
          <w:lang w:val="en-GB"/>
        </w:rPr>
        <w:t xml:space="preserve">friendly behaviour the ISO points out competitive advantage, improved brand image and </w:t>
      </w:r>
      <w:r w:rsidR="00AA538D" w:rsidRPr="00677C44">
        <w:rPr>
          <w:lang w:val="en-GB"/>
        </w:rPr>
        <w:t>overall,</w:t>
      </w:r>
      <w:r w:rsidR="00605514" w:rsidRPr="00677C44">
        <w:rPr>
          <w:lang w:val="en-GB"/>
        </w:rPr>
        <w:t xml:space="preserve"> a generally positive influence on employees</w:t>
      </w:r>
      <w:r w:rsidR="004E0018" w:rsidRPr="00677C44">
        <w:rPr>
          <w:lang w:val="en-GB"/>
        </w:rPr>
        <w:t xml:space="preserve"> and various other stakeholders</w:t>
      </w:r>
      <w:r w:rsidR="004E0018">
        <w:rPr>
          <w:lang w:val="en-GB"/>
        </w:rPr>
        <w:t xml:space="preserve"> (ISO, 2018)</w:t>
      </w:r>
      <w:r w:rsidR="006F7B51">
        <w:rPr>
          <w:lang w:val="en-GB"/>
        </w:rPr>
        <w:t xml:space="preserve">. </w:t>
      </w:r>
      <w:r w:rsidR="00605514">
        <w:rPr>
          <w:lang w:val="en-GB"/>
        </w:rPr>
        <w:t>Hence, incorporating CSR activities into business operations has on the one side a positive effect on society and environment at large and on the other hand it can also be considered an investment into the company with the potential benefits as mentioned above.</w:t>
      </w:r>
      <w:r w:rsidR="006F7B51">
        <w:rPr>
          <w:lang w:val="en-GB"/>
        </w:rPr>
        <w:t xml:space="preserve"> CSR has become more than simply being a </w:t>
      </w:r>
      <w:r w:rsidR="00AA538D">
        <w:rPr>
          <w:lang w:val="en-GB"/>
        </w:rPr>
        <w:t>good citizen</w:t>
      </w:r>
      <w:r w:rsidR="006F7B51">
        <w:rPr>
          <w:lang w:val="en-GB"/>
        </w:rPr>
        <w:t xml:space="preserve"> and contributing to society and environment, it has become a strategic development tool for companies and the real drivers behind CSR activities often remain in the dark for customers. Reviewing current </w:t>
      </w:r>
      <w:r w:rsidR="00605514">
        <w:rPr>
          <w:lang w:val="en-GB"/>
        </w:rPr>
        <w:t>studies</w:t>
      </w:r>
      <w:r w:rsidR="006F7B51">
        <w:rPr>
          <w:lang w:val="en-GB"/>
        </w:rPr>
        <w:t xml:space="preserve"> on the effects of CSR though, the economic benefit can be questions and the studies are v</w:t>
      </w:r>
      <w:r w:rsidR="00605514">
        <w:rPr>
          <w:lang w:val="en-GB"/>
        </w:rPr>
        <w:t xml:space="preserve">ery inconclusive </w:t>
      </w:r>
      <w:r w:rsidR="006F7B51">
        <w:rPr>
          <w:lang w:val="en-GB"/>
        </w:rPr>
        <w:t xml:space="preserve">regarding the </w:t>
      </w:r>
      <w:r w:rsidR="00605514">
        <w:rPr>
          <w:lang w:val="en-GB"/>
        </w:rPr>
        <w:t xml:space="preserve">effect </w:t>
      </w:r>
      <w:r w:rsidR="006F7B51">
        <w:rPr>
          <w:lang w:val="en-GB"/>
        </w:rPr>
        <w:t>of CSR on various variables.</w:t>
      </w:r>
    </w:p>
    <w:p w14:paraId="692CB07A" w14:textId="46F12AAE" w:rsidR="006F7B51" w:rsidRDefault="00605514" w:rsidP="006F7B51">
      <w:pPr>
        <w:contextualSpacing/>
        <w:rPr>
          <w:lang w:val="en-GB"/>
        </w:rPr>
      </w:pPr>
      <w:r>
        <w:rPr>
          <w:lang w:val="en-GB"/>
        </w:rPr>
        <w:t>Throughout the luxury industry there is a debate if luxury and sustainability are two congruent or two opposing concepts</w:t>
      </w:r>
      <w:r w:rsidR="00B04EC4">
        <w:rPr>
          <w:lang w:val="en-GB"/>
        </w:rPr>
        <w:t xml:space="preserve"> (</w:t>
      </w:r>
      <w:r w:rsidR="00B04EC4" w:rsidRPr="00D44766">
        <w:rPr>
          <w:rFonts w:cs="Times New Roman"/>
          <w:szCs w:val="24"/>
          <w:shd w:val="clear" w:color="auto" w:fill="FFFFFF"/>
          <w:lang w:val="en-GB"/>
        </w:rPr>
        <w:t>Achabou and Dekhili, 2013; Davies, Lee and Ahonkhai, 2012; Kapferer and Michaut-Denizeau 2014</w:t>
      </w:r>
      <w:r w:rsidR="00B04EC4">
        <w:rPr>
          <w:rFonts w:cs="Times New Roman"/>
          <w:szCs w:val="24"/>
          <w:shd w:val="clear" w:color="auto" w:fill="FFFFFF"/>
          <w:lang w:val="en-GB"/>
        </w:rPr>
        <w:t>)</w:t>
      </w:r>
      <w:r>
        <w:rPr>
          <w:lang w:val="en-GB"/>
        </w:rPr>
        <w:t>. Also results here are inconclusive; for some client segment the two go well together for other they don’t. But with a general shift in society towards a more sustainable and responsible, it can be hypothesized that</w:t>
      </w:r>
      <w:r w:rsidR="00BD1783">
        <w:rPr>
          <w:lang w:val="en-GB"/>
        </w:rPr>
        <w:t xml:space="preserve"> for</w:t>
      </w:r>
      <w:r>
        <w:rPr>
          <w:lang w:val="en-GB"/>
        </w:rPr>
        <w:t xml:space="preserve"> luxury </w:t>
      </w:r>
      <w:r w:rsidR="00AA538D">
        <w:rPr>
          <w:lang w:val="en-GB"/>
        </w:rPr>
        <w:t>client’s</w:t>
      </w:r>
      <w:r w:rsidR="00BD1783">
        <w:rPr>
          <w:lang w:val="en-GB"/>
        </w:rPr>
        <w:t xml:space="preserve"> sustainability has become an implicit need and luxury brands are automatically assumed to take care of these aspects as well. In the tourism industry, particularly accommodation providers in the upmarket segment are regularly incorporating CSR activities. These activities can range from wildlife relocations to </w:t>
      </w:r>
      <w:r w:rsidR="006F7B51">
        <w:rPr>
          <w:lang w:val="en-GB"/>
        </w:rPr>
        <w:t>offering employment and education</w:t>
      </w:r>
      <w:r w:rsidR="00B04EC4">
        <w:rPr>
          <w:lang w:val="en-GB"/>
        </w:rPr>
        <w:t xml:space="preserve"> to local communities</w:t>
      </w:r>
      <w:r w:rsidR="006F7B51">
        <w:rPr>
          <w:lang w:val="en-GB"/>
        </w:rPr>
        <w:t xml:space="preserve">. </w:t>
      </w:r>
    </w:p>
    <w:p w14:paraId="66AC4638" w14:textId="75FDACFE" w:rsidR="006478F1" w:rsidRDefault="006F7B51" w:rsidP="006478F1">
      <w:pPr>
        <w:contextualSpacing/>
        <w:rPr>
          <w:lang w:val="en-GB"/>
        </w:rPr>
      </w:pPr>
      <w:r>
        <w:rPr>
          <w:lang w:val="en-GB"/>
        </w:rPr>
        <w:t>In Germany so far</w:t>
      </w:r>
      <w:r w:rsidR="00B04EC4">
        <w:rPr>
          <w:lang w:val="en-GB"/>
        </w:rPr>
        <w:t>,</w:t>
      </w:r>
      <w:r>
        <w:rPr>
          <w:lang w:val="en-GB"/>
        </w:rPr>
        <w:t xml:space="preserve"> CSR activities were largely based on voluntary basis. </w:t>
      </w:r>
      <w:r w:rsidR="00AB4EB3">
        <w:rPr>
          <w:lang w:val="en-GB"/>
        </w:rPr>
        <w:t xml:space="preserve">The </w:t>
      </w:r>
      <w:r w:rsidR="00EB1DCF">
        <w:rPr>
          <w:lang w:val="en-GB"/>
        </w:rPr>
        <w:t>Due Diligence Act</w:t>
      </w:r>
      <w:r w:rsidR="00AB4EB3">
        <w:rPr>
          <w:lang w:val="en-GB"/>
        </w:rPr>
        <w:t xml:space="preserve">, even though not specifically developed for tourism but for all industries, it is a first step in holding companies </w:t>
      </w:r>
      <w:r w:rsidR="006478F1">
        <w:rPr>
          <w:lang w:val="en-GB"/>
        </w:rPr>
        <w:t xml:space="preserve">accountable for their actions and for their supply chains. However, looking at the TOs industry in Germany, only a very small number of TOs are included under the Act and thus, most likely only very little change for the industry will result out of that. It might even take away further voluntary initiatives, like re-evaluating the product portfolio in reference to sustainable actions as the bureaucratic burden is high. </w:t>
      </w:r>
      <w:r w:rsidR="00AA538D">
        <w:rPr>
          <w:lang w:val="en-GB"/>
        </w:rPr>
        <w:t>So,</w:t>
      </w:r>
      <w:r w:rsidR="006478F1">
        <w:rPr>
          <w:lang w:val="en-GB"/>
        </w:rPr>
        <w:t xml:space="preserve"> for SME TOs there will hardly be any </w:t>
      </w:r>
      <w:r w:rsidR="00AA538D">
        <w:rPr>
          <w:lang w:val="en-GB"/>
        </w:rPr>
        <w:t>effect,</w:t>
      </w:r>
      <w:r w:rsidR="006478F1">
        <w:rPr>
          <w:lang w:val="en-GB"/>
        </w:rPr>
        <w:t xml:space="preserve"> unless they happen to work with the same suppliers as the TOs falling under the Act. Despite the shortcoming and very limited scope of the Act on the TO industry, the need to get involved into CSR become more pressing due to a number of reasons. As outlined above there are many smaller steps that can be taken successively and sequentially to nudge clients into a more sustainable behaviour, to review the own companies CSR possibilities and eventually also to review the supply chain in this regard and thus, gradually build a </w:t>
      </w:r>
      <w:r w:rsidR="006478F1">
        <w:rPr>
          <w:lang w:val="en-GB"/>
        </w:rPr>
        <w:lastRenderedPageBreak/>
        <w:t xml:space="preserve">more sustainable and responsible approach to tourism. As mentioned above the industry needs to get involved if they don’t want to destroy the very foundation the business is </w:t>
      </w:r>
      <w:r w:rsidR="00AA538D">
        <w:rPr>
          <w:lang w:val="en-GB"/>
        </w:rPr>
        <w:t>built</w:t>
      </w:r>
      <w:r w:rsidR="006478F1">
        <w:rPr>
          <w:lang w:val="en-GB"/>
        </w:rPr>
        <w:t xml:space="preserve"> upon. As a sustainable benchmark does come with cost</w:t>
      </w:r>
      <w:r w:rsidR="00B04EC4">
        <w:rPr>
          <w:lang w:val="en-GB"/>
        </w:rPr>
        <w:t xml:space="preserve"> </w:t>
      </w:r>
      <w:r w:rsidR="00B04EC4" w:rsidRPr="00D44766">
        <w:rPr>
          <w:lang w:val="en-GB"/>
        </w:rPr>
        <w:t xml:space="preserve">(Tasci, 2017) </w:t>
      </w:r>
      <w:r w:rsidR="006478F1">
        <w:rPr>
          <w:lang w:val="en-GB"/>
        </w:rPr>
        <w:t>, it remains inevitable that SME TOs in a very price transparent industry remain competitive and economic success needs to be secured. This is the very foundation for business to stay vital and to actually be able to invest into CSR. So eventually there will always be a trade</w:t>
      </w:r>
      <w:r w:rsidR="0080765D">
        <w:rPr>
          <w:lang w:val="en-GB"/>
        </w:rPr>
        <w:t>-</w:t>
      </w:r>
      <w:r w:rsidR="006478F1">
        <w:rPr>
          <w:lang w:val="en-GB"/>
        </w:rPr>
        <w:t>off between t</w:t>
      </w:r>
      <w:r w:rsidR="0080765D">
        <w:rPr>
          <w:lang w:val="en-GB"/>
        </w:rPr>
        <w:t xml:space="preserve">he dimension of economic, environmental and social. All three dimensions are highly interconnected and a change in one dimension can mean a massive effect in the other dimension. </w:t>
      </w:r>
    </w:p>
    <w:p w14:paraId="78C553AB" w14:textId="20158BE8" w:rsidR="0080765D" w:rsidRDefault="0080765D" w:rsidP="006478F1">
      <w:pPr>
        <w:contextualSpacing/>
        <w:rPr>
          <w:lang w:val="en-GB"/>
        </w:rPr>
      </w:pPr>
      <w:r>
        <w:rPr>
          <w:lang w:val="en-GB"/>
        </w:rPr>
        <w:t xml:space="preserve">CSR can come with a positive economic benefit but equally it this means that more funds are available to be reinvested into CSR activities – as long as clients and stakeholders are not misled by the activities and they do do good, a positive economic benefit for the company itself can hardly be considered reprehensible. If it would be, then the question is, when do companies need to stop CSR, what positive return can still be seen as acceptable and when is the limit. Especially looking at tourism, the industry has helped a great number of people to be employed, it still is resorting and relocating wildlife in for example Africa where human action have previously </w:t>
      </w:r>
      <w:r w:rsidR="00AA538D">
        <w:rPr>
          <w:lang w:val="en-GB"/>
        </w:rPr>
        <w:t>led</w:t>
      </w:r>
      <w:r>
        <w:rPr>
          <w:lang w:val="en-GB"/>
        </w:rPr>
        <w:t xml:space="preserve"> to a near extinction of species etc. The challenge now is, to change the industry and steer tourism into </w:t>
      </w:r>
      <w:r w:rsidR="00AA538D">
        <w:rPr>
          <w:lang w:val="en-GB"/>
        </w:rPr>
        <w:t>a</w:t>
      </w:r>
      <w:r>
        <w:rPr>
          <w:lang w:val="en-GB"/>
        </w:rPr>
        <w:t xml:space="preserve"> direction of providing economic benefit for individuals</w:t>
      </w:r>
      <w:r w:rsidR="00E421C8">
        <w:rPr>
          <w:lang w:val="en-GB"/>
        </w:rPr>
        <w:t>, maintain the same in the</w:t>
      </w:r>
      <w:r>
        <w:rPr>
          <w:lang w:val="en-GB"/>
        </w:rPr>
        <w:t xml:space="preserve"> region while equally protecting the environment </w:t>
      </w:r>
      <w:r w:rsidR="00E421C8">
        <w:rPr>
          <w:lang w:val="en-GB"/>
        </w:rPr>
        <w:t>and society.</w:t>
      </w:r>
    </w:p>
    <w:p w14:paraId="77653388" w14:textId="64136DC7" w:rsidR="00EB1DCF" w:rsidRDefault="00E421C8" w:rsidP="0004595C">
      <w:pPr>
        <w:contextualSpacing/>
        <w:rPr>
          <w:lang w:val="en-GB"/>
        </w:rPr>
      </w:pPr>
      <w:r>
        <w:rPr>
          <w:lang w:val="en-GB"/>
        </w:rPr>
        <w:t xml:space="preserve">In the light of the above, more research is required into the aspects of CSR and the luxury tourism service and how travellers can be included into a more responsible development. </w:t>
      </w:r>
      <w:r w:rsidR="0004595C">
        <w:rPr>
          <w:lang w:val="en-GB"/>
        </w:rPr>
        <w:t xml:space="preserve">There is also more research needed in general on the effects of tourism in the respective destinations and what measures can be taken to counteract this, and also how SME TOs can </w:t>
      </w:r>
      <w:r w:rsidR="00AA538D">
        <w:rPr>
          <w:lang w:val="en-GB"/>
        </w:rPr>
        <w:t>include</w:t>
      </w:r>
      <w:r w:rsidR="0004595C">
        <w:rPr>
          <w:lang w:val="en-GB"/>
        </w:rPr>
        <w:t xml:space="preserve"> CSR actions into their business on a daily basis. The field of further research is quite large – but the need to action is immediate in order to secure a long-term future business perspective.</w:t>
      </w:r>
    </w:p>
    <w:p w14:paraId="4850AB14" w14:textId="77777777" w:rsidR="00741EE2" w:rsidRDefault="00741EE2" w:rsidP="0004595C">
      <w:pPr>
        <w:contextualSpacing/>
        <w:rPr>
          <w:lang w:val="en-GB"/>
        </w:rPr>
        <w:sectPr w:rsidR="00741EE2" w:rsidSect="00F7198D">
          <w:pgSz w:w="11906" w:h="16838"/>
          <w:pgMar w:top="1417" w:right="1417" w:bottom="1134" w:left="1417" w:header="708" w:footer="708" w:gutter="0"/>
          <w:cols w:space="708"/>
          <w:docGrid w:linePitch="360"/>
        </w:sectPr>
      </w:pPr>
    </w:p>
    <w:p w14:paraId="036B02EA" w14:textId="66292109" w:rsidR="00EC1656" w:rsidRPr="006E0D08" w:rsidRDefault="00EC1656" w:rsidP="00EC1656">
      <w:pPr>
        <w:pStyle w:val="berschrift1"/>
        <w:rPr>
          <w:lang w:val="en-GB"/>
        </w:rPr>
      </w:pPr>
      <w:r w:rsidRPr="006E0D08">
        <w:rPr>
          <w:lang w:val="en-GB"/>
        </w:rPr>
        <w:lastRenderedPageBreak/>
        <w:t>Bibliography</w:t>
      </w:r>
    </w:p>
    <w:p w14:paraId="428E5002" w14:textId="77777777" w:rsidR="00EC1656" w:rsidRDefault="00EC1656" w:rsidP="00EC1656">
      <w:pPr>
        <w:rPr>
          <w:lang w:val="en-GB"/>
        </w:rPr>
      </w:pPr>
    </w:p>
    <w:p w14:paraId="3EE92308" w14:textId="77777777" w:rsidR="00EC1656" w:rsidRDefault="00EC1656" w:rsidP="00EC1656">
      <w:pPr>
        <w:rPr>
          <w:lang w:val="en-GB"/>
        </w:rPr>
      </w:pPr>
    </w:p>
    <w:p w14:paraId="4A1727B4" w14:textId="27736960" w:rsidR="00EC1656" w:rsidRPr="00EC1656" w:rsidRDefault="00EC1656" w:rsidP="00EC1656">
      <w:pPr>
        <w:rPr>
          <w:lang w:val="en-GB"/>
        </w:rPr>
        <w:sectPr w:rsidR="00EC1656" w:rsidRPr="00EC1656" w:rsidSect="00F7198D">
          <w:pgSz w:w="11906" w:h="16838"/>
          <w:pgMar w:top="1417" w:right="1417" w:bottom="1134" w:left="1417" w:header="708" w:footer="708" w:gutter="0"/>
          <w:cols w:space="708"/>
          <w:docGrid w:linePitch="360"/>
        </w:sectPr>
      </w:pPr>
    </w:p>
    <w:p w14:paraId="175CC7B3" w14:textId="3E4334B5" w:rsidR="00741EE2" w:rsidRDefault="00741EE2" w:rsidP="00741EE2">
      <w:pPr>
        <w:pStyle w:val="berschrift1"/>
        <w:rPr>
          <w:lang w:val="en-GB"/>
        </w:rPr>
      </w:pPr>
      <w:r>
        <w:rPr>
          <w:lang w:val="en-GB"/>
        </w:rPr>
        <w:lastRenderedPageBreak/>
        <w:t>Disclosure</w:t>
      </w:r>
    </w:p>
    <w:p w14:paraId="2778FCF5" w14:textId="03A2B6A6" w:rsidR="00741EE2" w:rsidRDefault="00741EE2" w:rsidP="00741EE2">
      <w:pPr>
        <w:rPr>
          <w:lang w:val="en-GB"/>
        </w:rPr>
      </w:pPr>
      <w:r>
        <w:rPr>
          <w:lang w:val="en-GB"/>
        </w:rPr>
        <w:t xml:space="preserve">The author has </w:t>
      </w:r>
      <w:r w:rsidR="00EC1656">
        <w:rPr>
          <w:lang w:val="en-GB"/>
        </w:rPr>
        <w:t xml:space="preserve">extensive work-experience in various positions in the industry and currently works for a SME TOs which equally operates a DMC and </w:t>
      </w:r>
      <w:r w:rsidR="00AA538D">
        <w:rPr>
          <w:lang w:val="en-GB"/>
        </w:rPr>
        <w:t>an</w:t>
      </w:r>
      <w:r w:rsidR="00EC1656">
        <w:rPr>
          <w:lang w:val="en-GB"/>
        </w:rPr>
        <w:t xml:space="preserve"> accommodation abroad. Therefore, the knowledge of business processes and operations is given. </w:t>
      </w:r>
    </w:p>
    <w:p w14:paraId="432AD070" w14:textId="77777777" w:rsidR="00EC1656" w:rsidRDefault="00EC1656" w:rsidP="00741EE2">
      <w:pPr>
        <w:rPr>
          <w:lang w:val="en-GB"/>
        </w:rPr>
      </w:pPr>
    </w:p>
    <w:p w14:paraId="639F90E5" w14:textId="2DED118E" w:rsidR="00EC1656" w:rsidRPr="006E0D08" w:rsidRDefault="00EC1656" w:rsidP="00EC1656">
      <w:pPr>
        <w:pStyle w:val="berschrift1"/>
      </w:pPr>
      <w:r w:rsidRPr="006E0D08">
        <w:t>Declaration of Authenticity</w:t>
      </w:r>
    </w:p>
    <w:p w14:paraId="6E4D9E38" w14:textId="4CDF87ED" w:rsidR="00EC1656" w:rsidRPr="006C5BCB" w:rsidRDefault="00EC1656" w:rsidP="00EC1656">
      <w:pPr>
        <w:rPr>
          <w:rFonts w:cs="Times New Roman"/>
          <w:szCs w:val="24"/>
        </w:rPr>
      </w:pPr>
      <w:r w:rsidRPr="006C5BCB">
        <w:rPr>
          <w:rFonts w:cs="Times New Roman"/>
          <w:szCs w:val="24"/>
        </w:rPr>
        <w:t>Ich versichere, die von mir vorgelegte Arbeit selbstständig verfasst zu haben. Alle Stellen, die wörtlich oder sinngemäß aus veröffentlichten oder nicht veröffentlichten Arbeiten anderer oder der Verfasserin selbst entnommen sind, habe ich als entnommen kenntlich gemacht. Sämtliche Quellen und Hilfsmittel, die ich für die Arbeit benutzt haben, sind angegeben. Die Arbeit hat mit gleichem Inhalt bzw. in wesentlichen Teilen noch keiner anderen Prüfungsbehörde vorgelegen</w:t>
      </w:r>
      <w:r>
        <w:rPr>
          <w:rFonts w:cs="Times New Roman"/>
          <w:szCs w:val="24"/>
        </w:rPr>
        <w:t>.</w:t>
      </w:r>
    </w:p>
    <w:p w14:paraId="32BBB02C" w14:textId="77777777" w:rsidR="00EC1656" w:rsidRPr="006C5BCB" w:rsidRDefault="00EC1656" w:rsidP="00EC1656">
      <w:pPr>
        <w:rPr>
          <w:rFonts w:cs="Times New Roman"/>
          <w:szCs w:val="24"/>
        </w:rPr>
      </w:pPr>
    </w:p>
    <w:p w14:paraId="65625C20" w14:textId="768E3F16" w:rsidR="00EC1656" w:rsidRPr="006C5BCB" w:rsidRDefault="00EC1656" w:rsidP="00EC1656">
      <w:pPr>
        <w:rPr>
          <w:rFonts w:cs="Times New Roman"/>
          <w:szCs w:val="24"/>
        </w:rPr>
      </w:pPr>
      <w:r>
        <w:rPr>
          <w:rFonts w:cs="Times New Roman"/>
          <w:noProof/>
          <w:szCs w:val="24"/>
        </w:rPr>
        <w:drawing>
          <wp:anchor distT="0" distB="0" distL="114300" distR="114300" simplePos="0" relativeHeight="251678208" behindDoc="1" locked="0" layoutInCell="1" allowOverlap="1" wp14:anchorId="37C72D50" wp14:editId="71C62AE9">
            <wp:simplePos x="0" y="0"/>
            <wp:positionH relativeFrom="margin">
              <wp:posOffset>3478072</wp:posOffset>
            </wp:positionH>
            <wp:positionV relativeFrom="margin">
              <wp:posOffset>4248489</wp:posOffset>
            </wp:positionV>
            <wp:extent cx="1638300" cy="568679"/>
            <wp:effectExtent l="0" t="0" r="0" b="3175"/>
            <wp:wrapNone/>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38300" cy="568679"/>
                    </a:xfrm>
                    <a:prstGeom prst="rect">
                      <a:avLst/>
                    </a:prstGeom>
                  </pic:spPr>
                </pic:pic>
              </a:graphicData>
            </a:graphic>
            <wp14:sizeRelH relativeFrom="margin">
              <wp14:pctWidth>0</wp14:pctWidth>
            </wp14:sizeRelH>
            <wp14:sizeRelV relativeFrom="margin">
              <wp14:pctHeight>0</wp14:pctHeight>
            </wp14:sizeRelV>
          </wp:anchor>
        </w:drawing>
      </w:r>
    </w:p>
    <w:p w14:paraId="09753728" w14:textId="082798DE" w:rsidR="00EC1656" w:rsidRPr="006C5BCB" w:rsidRDefault="00EC1656" w:rsidP="00EC1656">
      <w:pPr>
        <w:rPr>
          <w:rFonts w:cs="Times New Roman"/>
          <w:szCs w:val="24"/>
        </w:rPr>
      </w:pPr>
      <w:r>
        <w:rPr>
          <w:rFonts w:cs="Times New Roman"/>
          <w:szCs w:val="24"/>
        </w:rPr>
        <w:t>Köln, 06.09.2023</w:t>
      </w:r>
    </w:p>
    <w:p w14:paraId="70D1B2D9" w14:textId="576AB2A5" w:rsidR="00EC1656" w:rsidRPr="006C5BCB" w:rsidRDefault="00EC1656" w:rsidP="00EC1656">
      <w:pPr>
        <w:rPr>
          <w:rFonts w:cs="Times New Roman"/>
          <w:szCs w:val="24"/>
        </w:rPr>
      </w:pPr>
      <w:r w:rsidRPr="006C5BCB">
        <w:rPr>
          <w:rFonts w:cs="Times New Roman"/>
          <w:szCs w:val="24"/>
        </w:rPr>
        <w:t>Ort, Datum</w:t>
      </w:r>
      <w:r w:rsidRPr="006C5BCB">
        <w:rPr>
          <w:rFonts w:cs="Times New Roman"/>
          <w:szCs w:val="24"/>
        </w:rPr>
        <w:tab/>
      </w:r>
      <w:r w:rsidRPr="006C5BCB">
        <w:rPr>
          <w:rFonts w:cs="Times New Roman"/>
          <w:szCs w:val="24"/>
        </w:rPr>
        <w:tab/>
      </w:r>
      <w:r w:rsidRPr="006C5BCB">
        <w:rPr>
          <w:rFonts w:cs="Times New Roman"/>
          <w:szCs w:val="24"/>
        </w:rPr>
        <w:tab/>
      </w:r>
      <w:r w:rsidRPr="006C5BCB">
        <w:rPr>
          <w:rFonts w:cs="Times New Roman"/>
          <w:szCs w:val="24"/>
        </w:rPr>
        <w:tab/>
      </w:r>
      <w:r w:rsidRPr="006C5BCB">
        <w:rPr>
          <w:rFonts w:cs="Times New Roman"/>
          <w:szCs w:val="24"/>
        </w:rPr>
        <w:tab/>
      </w:r>
      <w:r w:rsidRPr="006C5BCB">
        <w:rPr>
          <w:rFonts w:cs="Times New Roman"/>
          <w:szCs w:val="24"/>
        </w:rPr>
        <w:tab/>
      </w:r>
      <w:r w:rsidRPr="006C5BCB">
        <w:rPr>
          <w:rFonts w:cs="Times New Roman"/>
          <w:szCs w:val="24"/>
        </w:rPr>
        <w:tab/>
      </w:r>
      <w:r w:rsidRPr="006C5BCB">
        <w:rPr>
          <w:rFonts w:cs="Times New Roman"/>
          <w:szCs w:val="24"/>
        </w:rPr>
        <w:tab/>
        <w:t>Unterschrift</w:t>
      </w:r>
    </w:p>
    <w:p w14:paraId="094C75B3" w14:textId="40F79EA7" w:rsidR="00EC1656" w:rsidRPr="00EC1656" w:rsidRDefault="00EC1656" w:rsidP="00EC1656">
      <w:pPr>
        <w:rPr>
          <w:lang w:val="en-GB"/>
        </w:rPr>
      </w:pPr>
    </w:p>
    <w:sectPr w:rsidR="00EC1656" w:rsidRPr="00EC1656" w:rsidSect="00F7198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AF10" w14:textId="77777777" w:rsidR="00D04912" w:rsidRDefault="00D04912" w:rsidP="00E7670E">
      <w:pPr>
        <w:spacing w:after="0" w:line="240" w:lineRule="auto"/>
      </w:pPr>
      <w:r>
        <w:separator/>
      </w:r>
    </w:p>
  </w:endnote>
  <w:endnote w:type="continuationSeparator" w:id="0">
    <w:p w14:paraId="331C9DA1" w14:textId="77777777" w:rsidR="00D04912" w:rsidRDefault="00D04912" w:rsidP="00E7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dvOT46dcae81">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767900"/>
      <w:docPartObj>
        <w:docPartGallery w:val="Page Numbers (Bottom of Page)"/>
        <w:docPartUnique/>
      </w:docPartObj>
    </w:sdtPr>
    <w:sdtContent>
      <w:p w14:paraId="5DBDE36A" w14:textId="77777777" w:rsidR="004F0E2C" w:rsidRDefault="004F0E2C" w:rsidP="008E723B">
        <w:pPr>
          <w:pStyle w:val="Fuzeile"/>
          <w:jc w:val="right"/>
        </w:pPr>
        <w:r>
          <w:t>3</w:t>
        </w:r>
      </w:p>
    </w:sdtContent>
  </w:sdt>
  <w:p w14:paraId="58CA34FE" w14:textId="77777777" w:rsidR="004F0E2C" w:rsidRDefault="004F0E2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767837"/>
      <w:docPartObj>
        <w:docPartGallery w:val="Page Numbers (Bottom of Page)"/>
        <w:docPartUnique/>
      </w:docPartObj>
    </w:sdtPr>
    <w:sdtContent>
      <w:p w14:paraId="5AF3AC59" w14:textId="77777777" w:rsidR="004F0E2C" w:rsidRDefault="00000000">
        <w:pPr>
          <w:pStyle w:val="Fuzeile"/>
          <w:jc w:val="right"/>
        </w:pPr>
      </w:p>
    </w:sdtContent>
  </w:sdt>
  <w:p w14:paraId="5127A8CC" w14:textId="77777777" w:rsidR="004F0E2C" w:rsidRDefault="004F0E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4540909"/>
      <w:docPartObj>
        <w:docPartGallery w:val="Page Numbers (Bottom of Page)"/>
        <w:docPartUnique/>
      </w:docPartObj>
    </w:sdtPr>
    <w:sdtContent>
      <w:p w14:paraId="03EC0713" w14:textId="3D709FA2" w:rsidR="00E7670E" w:rsidRDefault="00E7670E" w:rsidP="00DC6156">
        <w:pPr>
          <w:pStyle w:val="Fuzeile"/>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ED1CF" w14:textId="77777777" w:rsidR="00D04912" w:rsidRDefault="00D04912" w:rsidP="00E7670E">
      <w:pPr>
        <w:spacing w:after="0" w:line="240" w:lineRule="auto"/>
      </w:pPr>
      <w:r>
        <w:separator/>
      </w:r>
    </w:p>
  </w:footnote>
  <w:footnote w:type="continuationSeparator" w:id="0">
    <w:p w14:paraId="381E76D3" w14:textId="77777777" w:rsidR="00D04912" w:rsidRDefault="00D04912" w:rsidP="00E76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6CFBC" w14:textId="77777777" w:rsidR="00E7670E" w:rsidRPr="00236FDE" w:rsidRDefault="00E7670E" w:rsidP="00236FDE">
    <w:pPr>
      <w:pStyle w:val="Kopfzeil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24"/>
    <w:multiLevelType w:val="hybridMultilevel"/>
    <w:tmpl w:val="C74AD866"/>
    <w:lvl w:ilvl="0" w:tplc="04070001">
      <w:start w:val="1"/>
      <w:numFmt w:val="bullet"/>
      <w:lvlText w:val=""/>
      <w:lvlJc w:val="left"/>
      <w:pPr>
        <w:ind w:left="1003" w:hanging="360"/>
      </w:pPr>
      <w:rPr>
        <w:rFonts w:ascii="Symbol" w:hAnsi="Symbol" w:hint="default"/>
      </w:rPr>
    </w:lvl>
    <w:lvl w:ilvl="1" w:tplc="04070003">
      <w:start w:val="1"/>
      <w:numFmt w:val="bullet"/>
      <w:lvlText w:val="o"/>
      <w:lvlJc w:val="left"/>
      <w:pPr>
        <w:ind w:left="1723" w:hanging="360"/>
      </w:pPr>
      <w:rPr>
        <w:rFonts w:ascii="Courier New" w:hAnsi="Courier New" w:cs="Courier New" w:hint="default"/>
      </w:rPr>
    </w:lvl>
    <w:lvl w:ilvl="2" w:tplc="04070005">
      <w:start w:val="1"/>
      <w:numFmt w:val="bullet"/>
      <w:lvlText w:val=""/>
      <w:lvlJc w:val="left"/>
      <w:pPr>
        <w:ind w:left="2443" w:hanging="360"/>
      </w:pPr>
      <w:rPr>
        <w:rFonts w:ascii="Wingdings" w:hAnsi="Wingdings" w:hint="default"/>
      </w:rPr>
    </w:lvl>
    <w:lvl w:ilvl="3" w:tplc="04070001">
      <w:start w:val="1"/>
      <w:numFmt w:val="bullet"/>
      <w:lvlText w:val=""/>
      <w:lvlJc w:val="left"/>
      <w:pPr>
        <w:ind w:left="3163" w:hanging="360"/>
      </w:pPr>
      <w:rPr>
        <w:rFonts w:ascii="Symbol" w:hAnsi="Symbol" w:hint="default"/>
      </w:rPr>
    </w:lvl>
    <w:lvl w:ilvl="4" w:tplc="04070003">
      <w:start w:val="1"/>
      <w:numFmt w:val="bullet"/>
      <w:lvlText w:val="o"/>
      <w:lvlJc w:val="left"/>
      <w:pPr>
        <w:ind w:left="3883" w:hanging="360"/>
      </w:pPr>
      <w:rPr>
        <w:rFonts w:ascii="Courier New" w:hAnsi="Courier New" w:cs="Courier New" w:hint="default"/>
      </w:rPr>
    </w:lvl>
    <w:lvl w:ilvl="5" w:tplc="04070005">
      <w:start w:val="1"/>
      <w:numFmt w:val="bullet"/>
      <w:lvlText w:val=""/>
      <w:lvlJc w:val="left"/>
      <w:pPr>
        <w:ind w:left="4603" w:hanging="360"/>
      </w:pPr>
      <w:rPr>
        <w:rFonts w:ascii="Wingdings" w:hAnsi="Wingdings" w:hint="default"/>
      </w:rPr>
    </w:lvl>
    <w:lvl w:ilvl="6" w:tplc="04070001">
      <w:start w:val="1"/>
      <w:numFmt w:val="bullet"/>
      <w:lvlText w:val=""/>
      <w:lvlJc w:val="left"/>
      <w:pPr>
        <w:ind w:left="5323" w:hanging="360"/>
      </w:pPr>
      <w:rPr>
        <w:rFonts w:ascii="Symbol" w:hAnsi="Symbol" w:hint="default"/>
      </w:rPr>
    </w:lvl>
    <w:lvl w:ilvl="7" w:tplc="04070003">
      <w:start w:val="1"/>
      <w:numFmt w:val="bullet"/>
      <w:lvlText w:val="o"/>
      <w:lvlJc w:val="left"/>
      <w:pPr>
        <w:ind w:left="6043" w:hanging="360"/>
      </w:pPr>
      <w:rPr>
        <w:rFonts w:ascii="Courier New" w:hAnsi="Courier New" w:cs="Courier New" w:hint="default"/>
      </w:rPr>
    </w:lvl>
    <w:lvl w:ilvl="8" w:tplc="04070005">
      <w:start w:val="1"/>
      <w:numFmt w:val="bullet"/>
      <w:lvlText w:val=""/>
      <w:lvlJc w:val="left"/>
      <w:pPr>
        <w:ind w:left="6763" w:hanging="360"/>
      </w:pPr>
      <w:rPr>
        <w:rFonts w:ascii="Wingdings" w:hAnsi="Wingdings" w:hint="default"/>
      </w:rPr>
    </w:lvl>
  </w:abstractNum>
  <w:abstractNum w:abstractNumId="1" w15:restartNumberingAfterBreak="0">
    <w:nsid w:val="12655D9D"/>
    <w:multiLevelType w:val="multilevel"/>
    <w:tmpl w:val="9208DE5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126D1D7D"/>
    <w:multiLevelType w:val="hybridMultilevel"/>
    <w:tmpl w:val="B31A7268"/>
    <w:lvl w:ilvl="0" w:tplc="CBF88D2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19813235"/>
    <w:multiLevelType w:val="hybridMultilevel"/>
    <w:tmpl w:val="099C1EFA"/>
    <w:lvl w:ilvl="0" w:tplc="09184A18">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1A9324EB"/>
    <w:multiLevelType w:val="hybridMultilevel"/>
    <w:tmpl w:val="F17CDBF6"/>
    <w:lvl w:ilvl="0" w:tplc="F0CA0652">
      <w:numFmt w:val="bullet"/>
      <w:lvlText w:val="-"/>
      <w:lvlJc w:val="left"/>
      <w:pPr>
        <w:ind w:left="644" w:hanging="360"/>
      </w:pPr>
      <w:rPr>
        <w:rFonts w:ascii="Century Gothic" w:eastAsiaTheme="minorHAnsi" w:hAnsi="Century Gothic"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247137E7"/>
    <w:multiLevelType w:val="hybridMultilevel"/>
    <w:tmpl w:val="A1F238E6"/>
    <w:lvl w:ilvl="0" w:tplc="04070001">
      <w:start w:val="1"/>
      <w:numFmt w:val="bullet"/>
      <w:lvlText w:val=""/>
      <w:lvlJc w:val="left"/>
      <w:pPr>
        <w:ind w:left="-2534" w:hanging="360"/>
      </w:pPr>
      <w:rPr>
        <w:rFonts w:ascii="Symbol" w:hAnsi="Symbol" w:hint="default"/>
      </w:rPr>
    </w:lvl>
    <w:lvl w:ilvl="1" w:tplc="04070003" w:tentative="1">
      <w:start w:val="1"/>
      <w:numFmt w:val="bullet"/>
      <w:lvlText w:val="o"/>
      <w:lvlJc w:val="left"/>
      <w:pPr>
        <w:ind w:left="-1814" w:hanging="360"/>
      </w:pPr>
      <w:rPr>
        <w:rFonts w:ascii="Courier New" w:hAnsi="Courier New" w:cs="Courier New" w:hint="default"/>
      </w:rPr>
    </w:lvl>
    <w:lvl w:ilvl="2" w:tplc="04070005" w:tentative="1">
      <w:start w:val="1"/>
      <w:numFmt w:val="bullet"/>
      <w:lvlText w:val=""/>
      <w:lvlJc w:val="left"/>
      <w:pPr>
        <w:ind w:left="-1094" w:hanging="360"/>
      </w:pPr>
      <w:rPr>
        <w:rFonts w:ascii="Wingdings" w:hAnsi="Wingdings" w:hint="default"/>
      </w:rPr>
    </w:lvl>
    <w:lvl w:ilvl="3" w:tplc="04070001" w:tentative="1">
      <w:start w:val="1"/>
      <w:numFmt w:val="bullet"/>
      <w:lvlText w:val=""/>
      <w:lvlJc w:val="left"/>
      <w:pPr>
        <w:ind w:left="-374" w:hanging="360"/>
      </w:pPr>
      <w:rPr>
        <w:rFonts w:ascii="Symbol" w:hAnsi="Symbol" w:hint="default"/>
      </w:rPr>
    </w:lvl>
    <w:lvl w:ilvl="4" w:tplc="04070003" w:tentative="1">
      <w:start w:val="1"/>
      <w:numFmt w:val="bullet"/>
      <w:lvlText w:val="o"/>
      <w:lvlJc w:val="left"/>
      <w:pPr>
        <w:ind w:left="346" w:hanging="360"/>
      </w:pPr>
      <w:rPr>
        <w:rFonts w:ascii="Courier New" w:hAnsi="Courier New" w:cs="Courier New" w:hint="default"/>
      </w:rPr>
    </w:lvl>
    <w:lvl w:ilvl="5" w:tplc="04070005" w:tentative="1">
      <w:start w:val="1"/>
      <w:numFmt w:val="bullet"/>
      <w:lvlText w:val=""/>
      <w:lvlJc w:val="left"/>
      <w:pPr>
        <w:ind w:left="1066" w:hanging="360"/>
      </w:pPr>
      <w:rPr>
        <w:rFonts w:ascii="Wingdings" w:hAnsi="Wingdings" w:hint="default"/>
      </w:rPr>
    </w:lvl>
    <w:lvl w:ilvl="6" w:tplc="04070001" w:tentative="1">
      <w:start w:val="1"/>
      <w:numFmt w:val="bullet"/>
      <w:lvlText w:val=""/>
      <w:lvlJc w:val="left"/>
      <w:pPr>
        <w:ind w:left="1786" w:hanging="360"/>
      </w:pPr>
      <w:rPr>
        <w:rFonts w:ascii="Symbol" w:hAnsi="Symbol" w:hint="default"/>
      </w:rPr>
    </w:lvl>
    <w:lvl w:ilvl="7" w:tplc="04070003" w:tentative="1">
      <w:start w:val="1"/>
      <w:numFmt w:val="bullet"/>
      <w:lvlText w:val="o"/>
      <w:lvlJc w:val="left"/>
      <w:pPr>
        <w:ind w:left="2506" w:hanging="360"/>
      </w:pPr>
      <w:rPr>
        <w:rFonts w:ascii="Courier New" w:hAnsi="Courier New" w:cs="Courier New" w:hint="default"/>
      </w:rPr>
    </w:lvl>
    <w:lvl w:ilvl="8" w:tplc="04070005" w:tentative="1">
      <w:start w:val="1"/>
      <w:numFmt w:val="bullet"/>
      <w:lvlText w:val=""/>
      <w:lvlJc w:val="left"/>
      <w:pPr>
        <w:ind w:left="3226" w:hanging="360"/>
      </w:pPr>
      <w:rPr>
        <w:rFonts w:ascii="Wingdings" w:hAnsi="Wingdings" w:hint="default"/>
      </w:rPr>
    </w:lvl>
  </w:abstractNum>
  <w:abstractNum w:abstractNumId="6" w15:restartNumberingAfterBreak="0">
    <w:nsid w:val="26B64812"/>
    <w:multiLevelType w:val="hybridMultilevel"/>
    <w:tmpl w:val="2EB6753A"/>
    <w:lvl w:ilvl="0" w:tplc="04070001">
      <w:start w:val="1"/>
      <w:numFmt w:val="bullet"/>
      <w:lvlText w:val=""/>
      <w:lvlJc w:val="left"/>
      <w:pPr>
        <w:ind w:left="1003" w:hanging="360"/>
      </w:pPr>
      <w:rPr>
        <w:rFonts w:ascii="Symbol" w:hAnsi="Symbo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7" w15:restartNumberingAfterBreak="0">
    <w:nsid w:val="28B148B2"/>
    <w:multiLevelType w:val="hybridMultilevel"/>
    <w:tmpl w:val="709ED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CA430E"/>
    <w:multiLevelType w:val="hybridMultilevel"/>
    <w:tmpl w:val="4B625FA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3B8D4DC2"/>
    <w:multiLevelType w:val="multilevel"/>
    <w:tmpl w:val="3FE8FB4E"/>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46DA68AF"/>
    <w:multiLevelType w:val="multilevel"/>
    <w:tmpl w:val="9208DE52"/>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51A9016D"/>
    <w:multiLevelType w:val="hybridMultilevel"/>
    <w:tmpl w:val="1BE201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5891056A"/>
    <w:multiLevelType w:val="hybridMultilevel"/>
    <w:tmpl w:val="C816A360"/>
    <w:lvl w:ilvl="0" w:tplc="3086D31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15:restartNumberingAfterBreak="0">
    <w:nsid w:val="64F84D45"/>
    <w:multiLevelType w:val="hybridMultilevel"/>
    <w:tmpl w:val="275E988E"/>
    <w:lvl w:ilvl="0" w:tplc="FF587574">
      <w:numFmt w:val="bullet"/>
      <w:lvlText w:val="-"/>
      <w:lvlJc w:val="left"/>
      <w:pPr>
        <w:ind w:left="360" w:hanging="360"/>
      </w:pPr>
      <w:rPr>
        <w:rFonts w:ascii="Abadi Extra Light" w:eastAsiaTheme="minorHAnsi" w:hAnsi="Abadi Extra Light" w:cs="Calibri" w:hint="default"/>
        <w:color w:val="2C3E50"/>
        <w:lang w:val="en-GB"/>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B8C3A23"/>
    <w:multiLevelType w:val="hybridMultilevel"/>
    <w:tmpl w:val="2E2000AC"/>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15:restartNumberingAfterBreak="0">
    <w:nsid w:val="70B34A93"/>
    <w:multiLevelType w:val="hybridMultilevel"/>
    <w:tmpl w:val="74623A3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7AAC73EF"/>
    <w:multiLevelType w:val="hybridMultilevel"/>
    <w:tmpl w:val="52F4EA7E"/>
    <w:lvl w:ilvl="0" w:tplc="CF22F36E">
      <w:numFmt w:val="bullet"/>
      <w:lvlText w:val="-"/>
      <w:lvlJc w:val="left"/>
      <w:pPr>
        <w:ind w:left="362" w:hanging="360"/>
      </w:pPr>
      <w:rPr>
        <w:rFonts w:ascii="Times New Roman" w:eastAsiaTheme="minorHAnsi" w:hAnsi="Times New Roman" w:cs="Times New Roman" w:hint="default"/>
      </w:rPr>
    </w:lvl>
    <w:lvl w:ilvl="1" w:tplc="04070003" w:tentative="1">
      <w:start w:val="1"/>
      <w:numFmt w:val="bullet"/>
      <w:lvlText w:val="o"/>
      <w:lvlJc w:val="left"/>
      <w:pPr>
        <w:ind w:left="1082" w:hanging="360"/>
      </w:pPr>
      <w:rPr>
        <w:rFonts w:ascii="Courier New" w:hAnsi="Courier New" w:cs="Courier New" w:hint="default"/>
      </w:rPr>
    </w:lvl>
    <w:lvl w:ilvl="2" w:tplc="04070005" w:tentative="1">
      <w:start w:val="1"/>
      <w:numFmt w:val="bullet"/>
      <w:lvlText w:val=""/>
      <w:lvlJc w:val="left"/>
      <w:pPr>
        <w:ind w:left="1802" w:hanging="360"/>
      </w:pPr>
      <w:rPr>
        <w:rFonts w:ascii="Wingdings" w:hAnsi="Wingdings" w:hint="default"/>
      </w:rPr>
    </w:lvl>
    <w:lvl w:ilvl="3" w:tplc="04070001" w:tentative="1">
      <w:start w:val="1"/>
      <w:numFmt w:val="bullet"/>
      <w:lvlText w:val=""/>
      <w:lvlJc w:val="left"/>
      <w:pPr>
        <w:ind w:left="2522" w:hanging="360"/>
      </w:pPr>
      <w:rPr>
        <w:rFonts w:ascii="Symbol" w:hAnsi="Symbol" w:hint="default"/>
      </w:rPr>
    </w:lvl>
    <w:lvl w:ilvl="4" w:tplc="04070003" w:tentative="1">
      <w:start w:val="1"/>
      <w:numFmt w:val="bullet"/>
      <w:lvlText w:val="o"/>
      <w:lvlJc w:val="left"/>
      <w:pPr>
        <w:ind w:left="3242" w:hanging="360"/>
      </w:pPr>
      <w:rPr>
        <w:rFonts w:ascii="Courier New" w:hAnsi="Courier New" w:cs="Courier New" w:hint="default"/>
      </w:rPr>
    </w:lvl>
    <w:lvl w:ilvl="5" w:tplc="04070005" w:tentative="1">
      <w:start w:val="1"/>
      <w:numFmt w:val="bullet"/>
      <w:lvlText w:val=""/>
      <w:lvlJc w:val="left"/>
      <w:pPr>
        <w:ind w:left="3962" w:hanging="360"/>
      </w:pPr>
      <w:rPr>
        <w:rFonts w:ascii="Wingdings" w:hAnsi="Wingdings" w:hint="default"/>
      </w:rPr>
    </w:lvl>
    <w:lvl w:ilvl="6" w:tplc="04070001" w:tentative="1">
      <w:start w:val="1"/>
      <w:numFmt w:val="bullet"/>
      <w:lvlText w:val=""/>
      <w:lvlJc w:val="left"/>
      <w:pPr>
        <w:ind w:left="4682" w:hanging="360"/>
      </w:pPr>
      <w:rPr>
        <w:rFonts w:ascii="Symbol" w:hAnsi="Symbol" w:hint="default"/>
      </w:rPr>
    </w:lvl>
    <w:lvl w:ilvl="7" w:tplc="04070003" w:tentative="1">
      <w:start w:val="1"/>
      <w:numFmt w:val="bullet"/>
      <w:lvlText w:val="o"/>
      <w:lvlJc w:val="left"/>
      <w:pPr>
        <w:ind w:left="5402" w:hanging="360"/>
      </w:pPr>
      <w:rPr>
        <w:rFonts w:ascii="Courier New" w:hAnsi="Courier New" w:cs="Courier New" w:hint="default"/>
      </w:rPr>
    </w:lvl>
    <w:lvl w:ilvl="8" w:tplc="04070005" w:tentative="1">
      <w:start w:val="1"/>
      <w:numFmt w:val="bullet"/>
      <w:lvlText w:val=""/>
      <w:lvlJc w:val="left"/>
      <w:pPr>
        <w:ind w:left="6122" w:hanging="360"/>
      </w:pPr>
      <w:rPr>
        <w:rFonts w:ascii="Wingdings" w:hAnsi="Wingdings" w:hint="default"/>
      </w:rPr>
    </w:lvl>
  </w:abstractNum>
  <w:abstractNum w:abstractNumId="17" w15:restartNumberingAfterBreak="0">
    <w:nsid w:val="7D811AC0"/>
    <w:multiLevelType w:val="hybridMultilevel"/>
    <w:tmpl w:val="B456BC5A"/>
    <w:lvl w:ilvl="0" w:tplc="309AD1E4">
      <w:numFmt w:val="bullet"/>
      <w:lvlText w:val=""/>
      <w:lvlJc w:val="left"/>
      <w:pPr>
        <w:ind w:left="644" w:hanging="360"/>
      </w:pPr>
      <w:rPr>
        <w:rFonts w:ascii="Wingdings" w:eastAsiaTheme="minorHAnsi" w:hAnsi="Wingdings"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523936012">
    <w:abstractNumId w:val="9"/>
  </w:num>
  <w:num w:numId="2" w16cid:durableId="1495339785">
    <w:abstractNumId w:val="11"/>
  </w:num>
  <w:num w:numId="3" w16cid:durableId="72287768">
    <w:abstractNumId w:val="16"/>
  </w:num>
  <w:num w:numId="4" w16cid:durableId="580799170">
    <w:abstractNumId w:val="7"/>
  </w:num>
  <w:num w:numId="5" w16cid:durableId="1494030754">
    <w:abstractNumId w:val="0"/>
  </w:num>
  <w:num w:numId="6" w16cid:durableId="26609197">
    <w:abstractNumId w:val="6"/>
  </w:num>
  <w:num w:numId="7" w16cid:durableId="2010869389">
    <w:abstractNumId w:val="1"/>
  </w:num>
  <w:num w:numId="8" w16cid:durableId="545802407">
    <w:abstractNumId w:val="14"/>
  </w:num>
  <w:num w:numId="9" w16cid:durableId="1108547742">
    <w:abstractNumId w:val="5"/>
  </w:num>
  <w:num w:numId="10" w16cid:durableId="748959923">
    <w:abstractNumId w:val="15"/>
  </w:num>
  <w:num w:numId="11" w16cid:durableId="483857774">
    <w:abstractNumId w:val="13"/>
  </w:num>
  <w:num w:numId="12" w16cid:durableId="194083658">
    <w:abstractNumId w:val="17"/>
  </w:num>
  <w:num w:numId="13" w16cid:durableId="791172794">
    <w:abstractNumId w:val="2"/>
  </w:num>
  <w:num w:numId="14" w16cid:durableId="1646736563">
    <w:abstractNumId w:val="3"/>
  </w:num>
  <w:num w:numId="15" w16cid:durableId="921066046">
    <w:abstractNumId w:val="8"/>
  </w:num>
  <w:num w:numId="16" w16cid:durableId="1557662320">
    <w:abstractNumId w:val="10"/>
  </w:num>
  <w:num w:numId="17" w16cid:durableId="269095840">
    <w:abstractNumId w:val="12"/>
  </w:num>
  <w:num w:numId="18" w16cid:durableId="952710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9"/>
  <w:autoHyphenation/>
  <w:hyphenationZone w:val="425"/>
  <w:characterSpacingControl w:val="doNotCompress"/>
  <w:hdrShapeDefaults>
    <o:shapedefaults v:ext="edit" spidmax="207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182"/>
    <w:rsid w:val="0000277D"/>
    <w:rsid w:val="0001402B"/>
    <w:rsid w:val="00014347"/>
    <w:rsid w:val="000155CD"/>
    <w:rsid w:val="000221EE"/>
    <w:rsid w:val="0002580A"/>
    <w:rsid w:val="00032968"/>
    <w:rsid w:val="00041A50"/>
    <w:rsid w:val="00045312"/>
    <w:rsid w:val="0004595C"/>
    <w:rsid w:val="00047A72"/>
    <w:rsid w:val="000507B8"/>
    <w:rsid w:val="000519D1"/>
    <w:rsid w:val="000559E7"/>
    <w:rsid w:val="00055AB1"/>
    <w:rsid w:val="0006043B"/>
    <w:rsid w:val="00062EE5"/>
    <w:rsid w:val="00072D72"/>
    <w:rsid w:val="00077213"/>
    <w:rsid w:val="00077557"/>
    <w:rsid w:val="00081528"/>
    <w:rsid w:val="00085289"/>
    <w:rsid w:val="00085817"/>
    <w:rsid w:val="00087C64"/>
    <w:rsid w:val="000917A5"/>
    <w:rsid w:val="00092615"/>
    <w:rsid w:val="000A1725"/>
    <w:rsid w:val="000A20C3"/>
    <w:rsid w:val="000A2FBA"/>
    <w:rsid w:val="000A3D6E"/>
    <w:rsid w:val="000A40E5"/>
    <w:rsid w:val="000A5E36"/>
    <w:rsid w:val="000A7201"/>
    <w:rsid w:val="000A72D5"/>
    <w:rsid w:val="000B24D5"/>
    <w:rsid w:val="000C13CB"/>
    <w:rsid w:val="000C353B"/>
    <w:rsid w:val="000C4B28"/>
    <w:rsid w:val="000C55FB"/>
    <w:rsid w:val="000C665B"/>
    <w:rsid w:val="000C7247"/>
    <w:rsid w:val="000D27BF"/>
    <w:rsid w:val="000D2B8A"/>
    <w:rsid w:val="000D5FE6"/>
    <w:rsid w:val="000E0266"/>
    <w:rsid w:val="000E2F04"/>
    <w:rsid w:val="000E3AF6"/>
    <w:rsid w:val="000E60D0"/>
    <w:rsid w:val="000E74A0"/>
    <w:rsid w:val="000E7726"/>
    <w:rsid w:val="000F360C"/>
    <w:rsid w:val="000F65FF"/>
    <w:rsid w:val="0010127D"/>
    <w:rsid w:val="001022D9"/>
    <w:rsid w:val="00115673"/>
    <w:rsid w:val="00115999"/>
    <w:rsid w:val="00116A72"/>
    <w:rsid w:val="00117AE8"/>
    <w:rsid w:val="001203B5"/>
    <w:rsid w:val="00121B67"/>
    <w:rsid w:val="001229B2"/>
    <w:rsid w:val="00123213"/>
    <w:rsid w:val="00123E94"/>
    <w:rsid w:val="00125519"/>
    <w:rsid w:val="00130538"/>
    <w:rsid w:val="00135350"/>
    <w:rsid w:val="00135871"/>
    <w:rsid w:val="00137CB1"/>
    <w:rsid w:val="00140C4F"/>
    <w:rsid w:val="00141396"/>
    <w:rsid w:val="00147B9C"/>
    <w:rsid w:val="001500AB"/>
    <w:rsid w:val="00151DE7"/>
    <w:rsid w:val="001541A5"/>
    <w:rsid w:val="00161935"/>
    <w:rsid w:val="00161AE5"/>
    <w:rsid w:val="001625C5"/>
    <w:rsid w:val="00163C4E"/>
    <w:rsid w:val="0016401D"/>
    <w:rsid w:val="0016466F"/>
    <w:rsid w:val="00172947"/>
    <w:rsid w:val="001762F4"/>
    <w:rsid w:val="001765DF"/>
    <w:rsid w:val="0018111C"/>
    <w:rsid w:val="00191DDF"/>
    <w:rsid w:val="001936B9"/>
    <w:rsid w:val="00196777"/>
    <w:rsid w:val="001A458E"/>
    <w:rsid w:val="001A4631"/>
    <w:rsid w:val="001B690A"/>
    <w:rsid w:val="001C587B"/>
    <w:rsid w:val="001D1692"/>
    <w:rsid w:val="001D1E2E"/>
    <w:rsid w:val="001D5BF4"/>
    <w:rsid w:val="001D7470"/>
    <w:rsid w:val="001E0A4D"/>
    <w:rsid w:val="001E18E4"/>
    <w:rsid w:val="001E2992"/>
    <w:rsid w:val="001E35B1"/>
    <w:rsid w:val="001E4CC2"/>
    <w:rsid w:val="001E5CAD"/>
    <w:rsid w:val="001F2B8F"/>
    <w:rsid w:val="001F2D15"/>
    <w:rsid w:val="001F374B"/>
    <w:rsid w:val="001F430E"/>
    <w:rsid w:val="001F58E1"/>
    <w:rsid w:val="00201B19"/>
    <w:rsid w:val="002033A3"/>
    <w:rsid w:val="00203A0F"/>
    <w:rsid w:val="00206B81"/>
    <w:rsid w:val="0020733B"/>
    <w:rsid w:val="002106D0"/>
    <w:rsid w:val="002150D1"/>
    <w:rsid w:val="00215C65"/>
    <w:rsid w:val="00220F27"/>
    <w:rsid w:val="00231E5D"/>
    <w:rsid w:val="002324AF"/>
    <w:rsid w:val="00235F54"/>
    <w:rsid w:val="00236FDE"/>
    <w:rsid w:val="0024160F"/>
    <w:rsid w:val="00242A35"/>
    <w:rsid w:val="00243927"/>
    <w:rsid w:val="0025420F"/>
    <w:rsid w:val="00254E76"/>
    <w:rsid w:val="0025546E"/>
    <w:rsid w:val="00255779"/>
    <w:rsid w:val="00257400"/>
    <w:rsid w:val="0025745B"/>
    <w:rsid w:val="002574A2"/>
    <w:rsid w:val="002648D7"/>
    <w:rsid w:val="00267A93"/>
    <w:rsid w:val="00271872"/>
    <w:rsid w:val="00271D45"/>
    <w:rsid w:val="00273693"/>
    <w:rsid w:val="002751E8"/>
    <w:rsid w:val="002765DF"/>
    <w:rsid w:val="0028245F"/>
    <w:rsid w:val="00282CBF"/>
    <w:rsid w:val="00285B8E"/>
    <w:rsid w:val="00287787"/>
    <w:rsid w:val="00287C59"/>
    <w:rsid w:val="0029000D"/>
    <w:rsid w:val="002921B8"/>
    <w:rsid w:val="00294BAF"/>
    <w:rsid w:val="002952E7"/>
    <w:rsid w:val="00295EFF"/>
    <w:rsid w:val="002A10D2"/>
    <w:rsid w:val="002A6590"/>
    <w:rsid w:val="002A6883"/>
    <w:rsid w:val="002A6B0F"/>
    <w:rsid w:val="002B012C"/>
    <w:rsid w:val="002B0278"/>
    <w:rsid w:val="002B19F0"/>
    <w:rsid w:val="002B49AC"/>
    <w:rsid w:val="002B591A"/>
    <w:rsid w:val="002C1D7C"/>
    <w:rsid w:val="002C1FA2"/>
    <w:rsid w:val="002C592B"/>
    <w:rsid w:val="002C6211"/>
    <w:rsid w:val="002D004F"/>
    <w:rsid w:val="002D07AA"/>
    <w:rsid w:val="002D6E83"/>
    <w:rsid w:val="002E26E0"/>
    <w:rsid w:val="002E4C61"/>
    <w:rsid w:val="002E54A5"/>
    <w:rsid w:val="002E564A"/>
    <w:rsid w:val="002E71B1"/>
    <w:rsid w:val="002F0E70"/>
    <w:rsid w:val="002F25EB"/>
    <w:rsid w:val="002F29A1"/>
    <w:rsid w:val="002F36FD"/>
    <w:rsid w:val="002F50AA"/>
    <w:rsid w:val="002F701F"/>
    <w:rsid w:val="0030041C"/>
    <w:rsid w:val="003051FF"/>
    <w:rsid w:val="00314C22"/>
    <w:rsid w:val="00316BEF"/>
    <w:rsid w:val="00320D3D"/>
    <w:rsid w:val="00320FA1"/>
    <w:rsid w:val="00321BB8"/>
    <w:rsid w:val="0032324C"/>
    <w:rsid w:val="003237BB"/>
    <w:rsid w:val="00324AB4"/>
    <w:rsid w:val="0032779E"/>
    <w:rsid w:val="0033373C"/>
    <w:rsid w:val="00336274"/>
    <w:rsid w:val="0033770E"/>
    <w:rsid w:val="00340DED"/>
    <w:rsid w:val="00341311"/>
    <w:rsid w:val="00344241"/>
    <w:rsid w:val="0034541C"/>
    <w:rsid w:val="00347D35"/>
    <w:rsid w:val="00350D80"/>
    <w:rsid w:val="00352FFF"/>
    <w:rsid w:val="003530AF"/>
    <w:rsid w:val="00354C4E"/>
    <w:rsid w:val="003601FA"/>
    <w:rsid w:val="00360892"/>
    <w:rsid w:val="00361927"/>
    <w:rsid w:val="00361F16"/>
    <w:rsid w:val="00362F0D"/>
    <w:rsid w:val="0037101F"/>
    <w:rsid w:val="00372039"/>
    <w:rsid w:val="00372D36"/>
    <w:rsid w:val="00375112"/>
    <w:rsid w:val="00375499"/>
    <w:rsid w:val="0038287D"/>
    <w:rsid w:val="00382C0C"/>
    <w:rsid w:val="00383E0E"/>
    <w:rsid w:val="003915F0"/>
    <w:rsid w:val="00392453"/>
    <w:rsid w:val="00394307"/>
    <w:rsid w:val="003944C3"/>
    <w:rsid w:val="003A0C25"/>
    <w:rsid w:val="003A1678"/>
    <w:rsid w:val="003A3A44"/>
    <w:rsid w:val="003A445D"/>
    <w:rsid w:val="003A7978"/>
    <w:rsid w:val="003A7BFE"/>
    <w:rsid w:val="003B278F"/>
    <w:rsid w:val="003B6E3A"/>
    <w:rsid w:val="003B750E"/>
    <w:rsid w:val="003B7D01"/>
    <w:rsid w:val="003C40E4"/>
    <w:rsid w:val="003C674D"/>
    <w:rsid w:val="003D0140"/>
    <w:rsid w:val="003D13C8"/>
    <w:rsid w:val="003D21A4"/>
    <w:rsid w:val="003D2633"/>
    <w:rsid w:val="003D2982"/>
    <w:rsid w:val="003D526C"/>
    <w:rsid w:val="003D5472"/>
    <w:rsid w:val="003D5656"/>
    <w:rsid w:val="003E62F4"/>
    <w:rsid w:val="003E6F34"/>
    <w:rsid w:val="003E7108"/>
    <w:rsid w:val="003F2000"/>
    <w:rsid w:val="003F2553"/>
    <w:rsid w:val="00400F81"/>
    <w:rsid w:val="00401F61"/>
    <w:rsid w:val="00402190"/>
    <w:rsid w:val="00403DF5"/>
    <w:rsid w:val="00406F59"/>
    <w:rsid w:val="00407EF5"/>
    <w:rsid w:val="004108A6"/>
    <w:rsid w:val="00411497"/>
    <w:rsid w:val="004128B4"/>
    <w:rsid w:val="0041483A"/>
    <w:rsid w:val="00414C9D"/>
    <w:rsid w:val="004159EF"/>
    <w:rsid w:val="004207A0"/>
    <w:rsid w:val="00426B23"/>
    <w:rsid w:val="00432AEE"/>
    <w:rsid w:val="00434B09"/>
    <w:rsid w:val="004355C9"/>
    <w:rsid w:val="004425A5"/>
    <w:rsid w:val="0045208E"/>
    <w:rsid w:val="00456568"/>
    <w:rsid w:val="004568AF"/>
    <w:rsid w:val="00457D34"/>
    <w:rsid w:val="004613E6"/>
    <w:rsid w:val="004616D3"/>
    <w:rsid w:val="004619A1"/>
    <w:rsid w:val="004631D1"/>
    <w:rsid w:val="00466C17"/>
    <w:rsid w:val="004717BE"/>
    <w:rsid w:val="00471CCB"/>
    <w:rsid w:val="004742F2"/>
    <w:rsid w:val="00474ECE"/>
    <w:rsid w:val="0047665C"/>
    <w:rsid w:val="00477EEE"/>
    <w:rsid w:val="00482358"/>
    <w:rsid w:val="0048437B"/>
    <w:rsid w:val="00485920"/>
    <w:rsid w:val="00487D8F"/>
    <w:rsid w:val="00493DF5"/>
    <w:rsid w:val="00494A32"/>
    <w:rsid w:val="004A2EB4"/>
    <w:rsid w:val="004B18BC"/>
    <w:rsid w:val="004B25F7"/>
    <w:rsid w:val="004B370D"/>
    <w:rsid w:val="004B6B9D"/>
    <w:rsid w:val="004C017C"/>
    <w:rsid w:val="004C2409"/>
    <w:rsid w:val="004C4C38"/>
    <w:rsid w:val="004C5606"/>
    <w:rsid w:val="004C6F03"/>
    <w:rsid w:val="004C73FB"/>
    <w:rsid w:val="004D2C63"/>
    <w:rsid w:val="004D6A62"/>
    <w:rsid w:val="004E0018"/>
    <w:rsid w:val="004E1C29"/>
    <w:rsid w:val="004E60D3"/>
    <w:rsid w:val="004F0E2C"/>
    <w:rsid w:val="004F1076"/>
    <w:rsid w:val="004F294A"/>
    <w:rsid w:val="004F5283"/>
    <w:rsid w:val="004F52AF"/>
    <w:rsid w:val="0050131A"/>
    <w:rsid w:val="00501604"/>
    <w:rsid w:val="00501C3E"/>
    <w:rsid w:val="00503E83"/>
    <w:rsid w:val="005067F4"/>
    <w:rsid w:val="00507067"/>
    <w:rsid w:val="00517FFC"/>
    <w:rsid w:val="005207D5"/>
    <w:rsid w:val="00520881"/>
    <w:rsid w:val="00522DD7"/>
    <w:rsid w:val="00523073"/>
    <w:rsid w:val="00536814"/>
    <w:rsid w:val="005402A7"/>
    <w:rsid w:val="00543566"/>
    <w:rsid w:val="00550642"/>
    <w:rsid w:val="00550DC0"/>
    <w:rsid w:val="0055162A"/>
    <w:rsid w:val="005572B1"/>
    <w:rsid w:val="00557C02"/>
    <w:rsid w:val="00560729"/>
    <w:rsid w:val="00562BD9"/>
    <w:rsid w:val="00566CF6"/>
    <w:rsid w:val="00572117"/>
    <w:rsid w:val="005727C1"/>
    <w:rsid w:val="005730D3"/>
    <w:rsid w:val="00573BAF"/>
    <w:rsid w:val="005807B5"/>
    <w:rsid w:val="005842D5"/>
    <w:rsid w:val="00585688"/>
    <w:rsid w:val="00596824"/>
    <w:rsid w:val="005A1FD0"/>
    <w:rsid w:val="005A4428"/>
    <w:rsid w:val="005A5ADE"/>
    <w:rsid w:val="005B1416"/>
    <w:rsid w:val="005B22A0"/>
    <w:rsid w:val="005B5FCA"/>
    <w:rsid w:val="005C18EF"/>
    <w:rsid w:val="005C3CAE"/>
    <w:rsid w:val="005D0055"/>
    <w:rsid w:val="005D2724"/>
    <w:rsid w:val="005E1C40"/>
    <w:rsid w:val="005E1D31"/>
    <w:rsid w:val="005E3D50"/>
    <w:rsid w:val="005F0150"/>
    <w:rsid w:val="005F13B1"/>
    <w:rsid w:val="005F166F"/>
    <w:rsid w:val="005F3D8D"/>
    <w:rsid w:val="005F54E3"/>
    <w:rsid w:val="005F64A0"/>
    <w:rsid w:val="005F653B"/>
    <w:rsid w:val="0060259F"/>
    <w:rsid w:val="00602863"/>
    <w:rsid w:val="00602C60"/>
    <w:rsid w:val="00603495"/>
    <w:rsid w:val="00605514"/>
    <w:rsid w:val="00613361"/>
    <w:rsid w:val="0061389F"/>
    <w:rsid w:val="0061520D"/>
    <w:rsid w:val="00625FE6"/>
    <w:rsid w:val="006348B3"/>
    <w:rsid w:val="00640CA2"/>
    <w:rsid w:val="006441E2"/>
    <w:rsid w:val="006445A3"/>
    <w:rsid w:val="00646B41"/>
    <w:rsid w:val="006470EE"/>
    <w:rsid w:val="006478F1"/>
    <w:rsid w:val="006506D7"/>
    <w:rsid w:val="00655C3A"/>
    <w:rsid w:val="00661EAB"/>
    <w:rsid w:val="00662AF7"/>
    <w:rsid w:val="00664F73"/>
    <w:rsid w:val="006656C6"/>
    <w:rsid w:val="00666835"/>
    <w:rsid w:val="00666A48"/>
    <w:rsid w:val="00672FFB"/>
    <w:rsid w:val="00674B27"/>
    <w:rsid w:val="00675544"/>
    <w:rsid w:val="006767F6"/>
    <w:rsid w:val="00677C44"/>
    <w:rsid w:val="00681015"/>
    <w:rsid w:val="00690278"/>
    <w:rsid w:val="00697E1C"/>
    <w:rsid w:val="006A0510"/>
    <w:rsid w:val="006A097A"/>
    <w:rsid w:val="006A607D"/>
    <w:rsid w:val="006B3A89"/>
    <w:rsid w:val="006B448E"/>
    <w:rsid w:val="006B6A84"/>
    <w:rsid w:val="006C0470"/>
    <w:rsid w:val="006C246C"/>
    <w:rsid w:val="006C502F"/>
    <w:rsid w:val="006E0D08"/>
    <w:rsid w:val="006E2155"/>
    <w:rsid w:val="006E23AB"/>
    <w:rsid w:val="006E5CEA"/>
    <w:rsid w:val="006F1B5A"/>
    <w:rsid w:val="006F2432"/>
    <w:rsid w:val="006F298E"/>
    <w:rsid w:val="006F641C"/>
    <w:rsid w:val="006F7B51"/>
    <w:rsid w:val="00701D22"/>
    <w:rsid w:val="007025F4"/>
    <w:rsid w:val="0070434E"/>
    <w:rsid w:val="00705332"/>
    <w:rsid w:val="0070693D"/>
    <w:rsid w:val="007073D7"/>
    <w:rsid w:val="007079DF"/>
    <w:rsid w:val="00707AC8"/>
    <w:rsid w:val="00714B1B"/>
    <w:rsid w:val="00716A40"/>
    <w:rsid w:val="00723F9D"/>
    <w:rsid w:val="00724089"/>
    <w:rsid w:val="007311EF"/>
    <w:rsid w:val="00731F2C"/>
    <w:rsid w:val="00733803"/>
    <w:rsid w:val="00734851"/>
    <w:rsid w:val="00736BD1"/>
    <w:rsid w:val="00737428"/>
    <w:rsid w:val="00741EE2"/>
    <w:rsid w:val="007427FB"/>
    <w:rsid w:val="00742BE1"/>
    <w:rsid w:val="00742C3C"/>
    <w:rsid w:val="007435E0"/>
    <w:rsid w:val="00745974"/>
    <w:rsid w:val="00747088"/>
    <w:rsid w:val="00750DD2"/>
    <w:rsid w:val="00753A11"/>
    <w:rsid w:val="007563E0"/>
    <w:rsid w:val="00757A5A"/>
    <w:rsid w:val="00763120"/>
    <w:rsid w:val="00764527"/>
    <w:rsid w:val="007658B0"/>
    <w:rsid w:val="00766069"/>
    <w:rsid w:val="00766600"/>
    <w:rsid w:val="007715ED"/>
    <w:rsid w:val="00772226"/>
    <w:rsid w:val="007734C5"/>
    <w:rsid w:val="007761FD"/>
    <w:rsid w:val="00780C6A"/>
    <w:rsid w:val="00782DA1"/>
    <w:rsid w:val="007843FC"/>
    <w:rsid w:val="00785804"/>
    <w:rsid w:val="0079298A"/>
    <w:rsid w:val="00795605"/>
    <w:rsid w:val="00797AD2"/>
    <w:rsid w:val="00797F78"/>
    <w:rsid w:val="007A647D"/>
    <w:rsid w:val="007A6C99"/>
    <w:rsid w:val="007B388A"/>
    <w:rsid w:val="007B4723"/>
    <w:rsid w:val="007B5FF7"/>
    <w:rsid w:val="007C33CC"/>
    <w:rsid w:val="007C4D4D"/>
    <w:rsid w:val="007C74E9"/>
    <w:rsid w:val="007D0005"/>
    <w:rsid w:val="007D15FB"/>
    <w:rsid w:val="007D382A"/>
    <w:rsid w:val="007D7D4B"/>
    <w:rsid w:val="007E0E97"/>
    <w:rsid w:val="007E30B1"/>
    <w:rsid w:val="007E4DB7"/>
    <w:rsid w:val="007E4EEA"/>
    <w:rsid w:val="007E564E"/>
    <w:rsid w:val="007E5D3C"/>
    <w:rsid w:val="007E7598"/>
    <w:rsid w:val="007F126E"/>
    <w:rsid w:val="007F5299"/>
    <w:rsid w:val="007F5717"/>
    <w:rsid w:val="0080720D"/>
    <w:rsid w:val="0080765D"/>
    <w:rsid w:val="00807B4A"/>
    <w:rsid w:val="00807B58"/>
    <w:rsid w:val="00807BCC"/>
    <w:rsid w:val="00813ECF"/>
    <w:rsid w:val="00814D8E"/>
    <w:rsid w:val="00814F54"/>
    <w:rsid w:val="00821E2B"/>
    <w:rsid w:val="00822345"/>
    <w:rsid w:val="00825896"/>
    <w:rsid w:val="0082714B"/>
    <w:rsid w:val="0082743C"/>
    <w:rsid w:val="00833108"/>
    <w:rsid w:val="008334CB"/>
    <w:rsid w:val="00834269"/>
    <w:rsid w:val="00834631"/>
    <w:rsid w:val="00834F46"/>
    <w:rsid w:val="00837085"/>
    <w:rsid w:val="008372BE"/>
    <w:rsid w:val="00841976"/>
    <w:rsid w:val="008420F8"/>
    <w:rsid w:val="00843F19"/>
    <w:rsid w:val="00850153"/>
    <w:rsid w:val="00852885"/>
    <w:rsid w:val="00853501"/>
    <w:rsid w:val="00854D92"/>
    <w:rsid w:val="00863CAA"/>
    <w:rsid w:val="00864715"/>
    <w:rsid w:val="00872D24"/>
    <w:rsid w:val="00880B21"/>
    <w:rsid w:val="0088269D"/>
    <w:rsid w:val="00882D9C"/>
    <w:rsid w:val="0088329C"/>
    <w:rsid w:val="00883E98"/>
    <w:rsid w:val="00885DC4"/>
    <w:rsid w:val="008878E8"/>
    <w:rsid w:val="00887F45"/>
    <w:rsid w:val="00890F7B"/>
    <w:rsid w:val="00895225"/>
    <w:rsid w:val="008977A1"/>
    <w:rsid w:val="008A1E3D"/>
    <w:rsid w:val="008A2687"/>
    <w:rsid w:val="008A377E"/>
    <w:rsid w:val="008A5D7F"/>
    <w:rsid w:val="008B01BC"/>
    <w:rsid w:val="008B16D4"/>
    <w:rsid w:val="008B3937"/>
    <w:rsid w:val="008B3DEA"/>
    <w:rsid w:val="008B4CD5"/>
    <w:rsid w:val="008B656B"/>
    <w:rsid w:val="008B768C"/>
    <w:rsid w:val="008C0929"/>
    <w:rsid w:val="008D1980"/>
    <w:rsid w:val="008D2654"/>
    <w:rsid w:val="008D4061"/>
    <w:rsid w:val="008E0446"/>
    <w:rsid w:val="008E0F47"/>
    <w:rsid w:val="008E5486"/>
    <w:rsid w:val="008E701A"/>
    <w:rsid w:val="008E7DB9"/>
    <w:rsid w:val="008F2B9C"/>
    <w:rsid w:val="008F3EAD"/>
    <w:rsid w:val="008F4CE7"/>
    <w:rsid w:val="008F59CE"/>
    <w:rsid w:val="008F68ED"/>
    <w:rsid w:val="009078DB"/>
    <w:rsid w:val="00913B91"/>
    <w:rsid w:val="00917C75"/>
    <w:rsid w:val="00922715"/>
    <w:rsid w:val="00923412"/>
    <w:rsid w:val="009275C2"/>
    <w:rsid w:val="00927967"/>
    <w:rsid w:val="009327EF"/>
    <w:rsid w:val="0093758E"/>
    <w:rsid w:val="00940444"/>
    <w:rsid w:val="00941A9F"/>
    <w:rsid w:val="00942746"/>
    <w:rsid w:val="0094362C"/>
    <w:rsid w:val="0094398B"/>
    <w:rsid w:val="00951257"/>
    <w:rsid w:val="00951D12"/>
    <w:rsid w:val="0095335A"/>
    <w:rsid w:val="00955F72"/>
    <w:rsid w:val="00956168"/>
    <w:rsid w:val="009635CC"/>
    <w:rsid w:val="009657BD"/>
    <w:rsid w:val="0097172B"/>
    <w:rsid w:val="00971CCB"/>
    <w:rsid w:val="00972AEA"/>
    <w:rsid w:val="00974CA6"/>
    <w:rsid w:val="00975037"/>
    <w:rsid w:val="00977840"/>
    <w:rsid w:val="00980ECB"/>
    <w:rsid w:val="009816E9"/>
    <w:rsid w:val="00981DF9"/>
    <w:rsid w:val="00985469"/>
    <w:rsid w:val="00990F4D"/>
    <w:rsid w:val="0099262F"/>
    <w:rsid w:val="00993384"/>
    <w:rsid w:val="009A0FFF"/>
    <w:rsid w:val="009A1F3C"/>
    <w:rsid w:val="009A43A8"/>
    <w:rsid w:val="009A543F"/>
    <w:rsid w:val="009A720C"/>
    <w:rsid w:val="009B1053"/>
    <w:rsid w:val="009B18B5"/>
    <w:rsid w:val="009B2647"/>
    <w:rsid w:val="009B44C1"/>
    <w:rsid w:val="009B64EA"/>
    <w:rsid w:val="009B687A"/>
    <w:rsid w:val="009B6B3F"/>
    <w:rsid w:val="009C49ED"/>
    <w:rsid w:val="009C5837"/>
    <w:rsid w:val="009C6F79"/>
    <w:rsid w:val="009D0D88"/>
    <w:rsid w:val="009D17F8"/>
    <w:rsid w:val="009D2713"/>
    <w:rsid w:val="009D5552"/>
    <w:rsid w:val="009E17CD"/>
    <w:rsid w:val="009E2A05"/>
    <w:rsid w:val="009E511D"/>
    <w:rsid w:val="009F18EC"/>
    <w:rsid w:val="009F58B8"/>
    <w:rsid w:val="00A00860"/>
    <w:rsid w:val="00A01011"/>
    <w:rsid w:val="00A02492"/>
    <w:rsid w:val="00A062D1"/>
    <w:rsid w:val="00A063B1"/>
    <w:rsid w:val="00A14C94"/>
    <w:rsid w:val="00A15401"/>
    <w:rsid w:val="00A20A92"/>
    <w:rsid w:val="00A224E5"/>
    <w:rsid w:val="00A2358C"/>
    <w:rsid w:val="00A24FF0"/>
    <w:rsid w:val="00A30863"/>
    <w:rsid w:val="00A30B11"/>
    <w:rsid w:val="00A352E2"/>
    <w:rsid w:val="00A36583"/>
    <w:rsid w:val="00A40502"/>
    <w:rsid w:val="00A41870"/>
    <w:rsid w:val="00A47BA8"/>
    <w:rsid w:val="00A5188B"/>
    <w:rsid w:val="00A51D6E"/>
    <w:rsid w:val="00A526D6"/>
    <w:rsid w:val="00A54D93"/>
    <w:rsid w:val="00A569B2"/>
    <w:rsid w:val="00A57335"/>
    <w:rsid w:val="00A57AE7"/>
    <w:rsid w:val="00A57C73"/>
    <w:rsid w:val="00A61B4D"/>
    <w:rsid w:val="00A627A1"/>
    <w:rsid w:val="00A64A19"/>
    <w:rsid w:val="00A65040"/>
    <w:rsid w:val="00A67409"/>
    <w:rsid w:val="00A711B8"/>
    <w:rsid w:val="00A72BA2"/>
    <w:rsid w:val="00A73471"/>
    <w:rsid w:val="00A73DA7"/>
    <w:rsid w:val="00A75FB5"/>
    <w:rsid w:val="00A77E5F"/>
    <w:rsid w:val="00A81303"/>
    <w:rsid w:val="00A829CF"/>
    <w:rsid w:val="00A839C2"/>
    <w:rsid w:val="00A83C2C"/>
    <w:rsid w:val="00A84232"/>
    <w:rsid w:val="00A851BF"/>
    <w:rsid w:val="00A8717A"/>
    <w:rsid w:val="00A90AF0"/>
    <w:rsid w:val="00A91FEE"/>
    <w:rsid w:val="00A92FC9"/>
    <w:rsid w:val="00AA2ABB"/>
    <w:rsid w:val="00AA2B0E"/>
    <w:rsid w:val="00AA4179"/>
    <w:rsid w:val="00AA538D"/>
    <w:rsid w:val="00AA67CF"/>
    <w:rsid w:val="00AA6DBA"/>
    <w:rsid w:val="00AB2C1C"/>
    <w:rsid w:val="00AB4EB3"/>
    <w:rsid w:val="00AB5DB5"/>
    <w:rsid w:val="00AB6E5C"/>
    <w:rsid w:val="00AC694D"/>
    <w:rsid w:val="00AC6A39"/>
    <w:rsid w:val="00AD179F"/>
    <w:rsid w:val="00AD2A9F"/>
    <w:rsid w:val="00AD355B"/>
    <w:rsid w:val="00AD36A0"/>
    <w:rsid w:val="00AD457F"/>
    <w:rsid w:val="00AD4C3B"/>
    <w:rsid w:val="00AD7C33"/>
    <w:rsid w:val="00AE03C9"/>
    <w:rsid w:val="00AE26EB"/>
    <w:rsid w:val="00AE639A"/>
    <w:rsid w:val="00AE7689"/>
    <w:rsid w:val="00AF0B9B"/>
    <w:rsid w:val="00AF1EED"/>
    <w:rsid w:val="00AF4D21"/>
    <w:rsid w:val="00B00274"/>
    <w:rsid w:val="00B008D7"/>
    <w:rsid w:val="00B04EC4"/>
    <w:rsid w:val="00B11164"/>
    <w:rsid w:val="00B12279"/>
    <w:rsid w:val="00B12A23"/>
    <w:rsid w:val="00B13AED"/>
    <w:rsid w:val="00B15394"/>
    <w:rsid w:val="00B157A4"/>
    <w:rsid w:val="00B158C2"/>
    <w:rsid w:val="00B1677A"/>
    <w:rsid w:val="00B20D66"/>
    <w:rsid w:val="00B228E0"/>
    <w:rsid w:val="00B23873"/>
    <w:rsid w:val="00B25662"/>
    <w:rsid w:val="00B318C3"/>
    <w:rsid w:val="00B31ADB"/>
    <w:rsid w:val="00B3285C"/>
    <w:rsid w:val="00B32BCD"/>
    <w:rsid w:val="00B34762"/>
    <w:rsid w:val="00B4007E"/>
    <w:rsid w:val="00B42976"/>
    <w:rsid w:val="00B43D45"/>
    <w:rsid w:val="00B4559C"/>
    <w:rsid w:val="00B46056"/>
    <w:rsid w:val="00B46668"/>
    <w:rsid w:val="00B47D93"/>
    <w:rsid w:val="00B47E70"/>
    <w:rsid w:val="00B528F6"/>
    <w:rsid w:val="00B604F6"/>
    <w:rsid w:val="00B63592"/>
    <w:rsid w:val="00B661BD"/>
    <w:rsid w:val="00B6738D"/>
    <w:rsid w:val="00B67391"/>
    <w:rsid w:val="00B7423B"/>
    <w:rsid w:val="00B766D9"/>
    <w:rsid w:val="00B7694E"/>
    <w:rsid w:val="00B76DD5"/>
    <w:rsid w:val="00B77BF8"/>
    <w:rsid w:val="00B81434"/>
    <w:rsid w:val="00B8235E"/>
    <w:rsid w:val="00B82CD1"/>
    <w:rsid w:val="00B83900"/>
    <w:rsid w:val="00B8398D"/>
    <w:rsid w:val="00B841B7"/>
    <w:rsid w:val="00B8454F"/>
    <w:rsid w:val="00B86CF2"/>
    <w:rsid w:val="00B929E3"/>
    <w:rsid w:val="00B93200"/>
    <w:rsid w:val="00B952D9"/>
    <w:rsid w:val="00B9619F"/>
    <w:rsid w:val="00BA1B9D"/>
    <w:rsid w:val="00BA7524"/>
    <w:rsid w:val="00BB2323"/>
    <w:rsid w:val="00BB29F6"/>
    <w:rsid w:val="00BC2788"/>
    <w:rsid w:val="00BC5879"/>
    <w:rsid w:val="00BD1783"/>
    <w:rsid w:val="00BD1D54"/>
    <w:rsid w:val="00BD4C57"/>
    <w:rsid w:val="00BD56CC"/>
    <w:rsid w:val="00BE161C"/>
    <w:rsid w:val="00BE4B86"/>
    <w:rsid w:val="00BE6A93"/>
    <w:rsid w:val="00BE7C79"/>
    <w:rsid w:val="00BF1128"/>
    <w:rsid w:val="00BF4007"/>
    <w:rsid w:val="00BF437D"/>
    <w:rsid w:val="00BF5F3E"/>
    <w:rsid w:val="00BF66FF"/>
    <w:rsid w:val="00C03F8B"/>
    <w:rsid w:val="00C07BF8"/>
    <w:rsid w:val="00C11732"/>
    <w:rsid w:val="00C1562A"/>
    <w:rsid w:val="00C16F1B"/>
    <w:rsid w:val="00C24115"/>
    <w:rsid w:val="00C30F05"/>
    <w:rsid w:val="00C336F4"/>
    <w:rsid w:val="00C37B3E"/>
    <w:rsid w:val="00C40FBE"/>
    <w:rsid w:val="00C45690"/>
    <w:rsid w:val="00C505EF"/>
    <w:rsid w:val="00C50EBA"/>
    <w:rsid w:val="00C524A9"/>
    <w:rsid w:val="00C53355"/>
    <w:rsid w:val="00C620BD"/>
    <w:rsid w:val="00C62906"/>
    <w:rsid w:val="00C62934"/>
    <w:rsid w:val="00C6329F"/>
    <w:rsid w:val="00C63993"/>
    <w:rsid w:val="00C64285"/>
    <w:rsid w:val="00C647B6"/>
    <w:rsid w:val="00C70514"/>
    <w:rsid w:val="00C746E2"/>
    <w:rsid w:val="00C74863"/>
    <w:rsid w:val="00C77A51"/>
    <w:rsid w:val="00C8380C"/>
    <w:rsid w:val="00C8728D"/>
    <w:rsid w:val="00C929E1"/>
    <w:rsid w:val="00C95ECF"/>
    <w:rsid w:val="00C964D9"/>
    <w:rsid w:val="00C96984"/>
    <w:rsid w:val="00C9737C"/>
    <w:rsid w:val="00CA12D7"/>
    <w:rsid w:val="00CA17C9"/>
    <w:rsid w:val="00CA2E09"/>
    <w:rsid w:val="00CA5DBB"/>
    <w:rsid w:val="00CB638D"/>
    <w:rsid w:val="00CB6B28"/>
    <w:rsid w:val="00CB7E21"/>
    <w:rsid w:val="00CC1225"/>
    <w:rsid w:val="00CC417B"/>
    <w:rsid w:val="00CC7E06"/>
    <w:rsid w:val="00CD0F10"/>
    <w:rsid w:val="00CD3748"/>
    <w:rsid w:val="00CD6BCD"/>
    <w:rsid w:val="00CD6CE4"/>
    <w:rsid w:val="00CE151C"/>
    <w:rsid w:val="00CE476E"/>
    <w:rsid w:val="00CE6980"/>
    <w:rsid w:val="00CE6CE0"/>
    <w:rsid w:val="00CE6E16"/>
    <w:rsid w:val="00CF4446"/>
    <w:rsid w:val="00CF4932"/>
    <w:rsid w:val="00CF567D"/>
    <w:rsid w:val="00CF6987"/>
    <w:rsid w:val="00CF6BFE"/>
    <w:rsid w:val="00CF7A1A"/>
    <w:rsid w:val="00D031A9"/>
    <w:rsid w:val="00D04912"/>
    <w:rsid w:val="00D04A4F"/>
    <w:rsid w:val="00D0569C"/>
    <w:rsid w:val="00D05C09"/>
    <w:rsid w:val="00D070F7"/>
    <w:rsid w:val="00D106F1"/>
    <w:rsid w:val="00D13831"/>
    <w:rsid w:val="00D1399D"/>
    <w:rsid w:val="00D16346"/>
    <w:rsid w:val="00D2058C"/>
    <w:rsid w:val="00D20B27"/>
    <w:rsid w:val="00D23600"/>
    <w:rsid w:val="00D254D1"/>
    <w:rsid w:val="00D31472"/>
    <w:rsid w:val="00D3217C"/>
    <w:rsid w:val="00D33E30"/>
    <w:rsid w:val="00D3400E"/>
    <w:rsid w:val="00D4267E"/>
    <w:rsid w:val="00D43CC1"/>
    <w:rsid w:val="00D44766"/>
    <w:rsid w:val="00D44CA9"/>
    <w:rsid w:val="00D450FD"/>
    <w:rsid w:val="00D57A7E"/>
    <w:rsid w:val="00D60D25"/>
    <w:rsid w:val="00D614A5"/>
    <w:rsid w:val="00D618B9"/>
    <w:rsid w:val="00D661A4"/>
    <w:rsid w:val="00D67E11"/>
    <w:rsid w:val="00D710B4"/>
    <w:rsid w:val="00D72486"/>
    <w:rsid w:val="00D73C74"/>
    <w:rsid w:val="00D83743"/>
    <w:rsid w:val="00D83FEF"/>
    <w:rsid w:val="00D8759A"/>
    <w:rsid w:val="00D876A5"/>
    <w:rsid w:val="00D9035A"/>
    <w:rsid w:val="00D9330E"/>
    <w:rsid w:val="00D94A52"/>
    <w:rsid w:val="00DA428D"/>
    <w:rsid w:val="00DA58BD"/>
    <w:rsid w:val="00DA5912"/>
    <w:rsid w:val="00DB1882"/>
    <w:rsid w:val="00DB280D"/>
    <w:rsid w:val="00DB6F01"/>
    <w:rsid w:val="00DC0EB1"/>
    <w:rsid w:val="00DC101A"/>
    <w:rsid w:val="00DC3B4E"/>
    <w:rsid w:val="00DC6156"/>
    <w:rsid w:val="00DD0FDA"/>
    <w:rsid w:val="00DD62E4"/>
    <w:rsid w:val="00DD6866"/>
    <w:rsid w:val="00DE1F8F"/>
    <w:rsid w:val="00DE2688"/>
    <w:rsid w:val="00DE3355"/>
    <w:rsid w:val="00DE4541"/>
    <w:rsid w:val="00DE5CEA"/>
    <w:rsid w:val="00DE6ABA"/>
    <w:rsid w:val="00DF15E1"/>
    <w:rsid w:val="00DF2C1E"/>
    <w:rsid w:val="00DF2CF2"/>
    <w:rsid w:val="00DF30F1"/>
    <w:rsid w:val="00DF7E50"/>
    <w:rsid w:val="00E00166"/>
    <w:rsid w:val="00E01F8D"/>
    <w:rsid w:val="00E04549"/>
    <w:rsid w:val="00E054D2"/>
    <w:rsid w:val="00E116F2"/>
    <w:rsid w:val="00E14B0A"/>
    <w:rsid w:val="00E172DB"/>
    <w:rsid w:val="00E20CC5"/>
    <w:rsid w:val="00E21A8A"/>
    <w:rsid w:val="00E239E1"/>
    <w:rsid w:val="00E2795D"/>
    <w:rsid w:val="00E33D5B"/>
    <w:rsid w:val="00E34DC5"/>
    <w:rsid w:val="00E37363"/>
    <w:rsid w:val="00E40414"/>
    <w:rsid w:val="00E421C8"/>
    <w:rsid w:val="00E453DC"/>
    <w:rsid w:val="00E4584D"/>
    <w:rsid w:val="00E51477"/>
    <w:rsid w:val="00E5276E"/>
    <w:rsid w:val="00E60046"/>
    <w:rsid w:val="00E61660"/>
    <w:rsid w:val="00E63670"/>
    <w:rsid w:val="00E74182"/>
    <w:rsid w:val="00E757EE"/>
    <w:rsid w:val="00E7670E"/>
    <w:rsid w:val="00E76955"/>
    <w:rsid w:val="00E77BA4"/>
    <w:rsid w:val="00E77D76"/>
    <w:rsid w:val="00E81CC9"/>
    <w:rsid w:val="00E83F4C"/>
    <w:rsid w:val="00E83FC1"/>
    <w:rsid w:val="00E84308"/>
    <w:rsid w:val="00E86674"/>
    <w:rsid w:val="00E87B42"/>
    <w:rsid w:val="00E927D9"/>
    <w:rsid w:val="00E936B3"/>
    <w:rsid w:val="00E96FEE"/>
    <w:rsid w:val="00E96FF9"/>
    <w:rsid w:val="00EA0523"/>
    <w:rsid w:val="00EA1482"/>
    <w:rsid w:val="00EA186A"/>
    <w:rsid w:val="00EA39A0"/>
    <w:rsid w:val="00EA4DEE"/>
    <w:rsid w:val="00EB080A"/>
    <w:rsid w:val="00EB1DCF"/>
    <w:rsid w:val="00EB7E5F"/>
    <w:rsid w:val="00EC1656"/>
    <w:rsid w:val="00EC331E"/>
    <w:rsid w:val="00EC5135"/>
    <w:rsid w:val="00EC5775"/>
    <w:rsid w:val="00EC5D50"/>
    <w:rsid w:val="00EC602F"/>
    <w:rsid w:val="00EC62BF"/>
    <w:rsid w:val="00EC6B78"/>
    <w:rsid w:val="00EC7124"/>
    <w:rsid w:val="00ED110C"/>
    <w:rsid w:val="00ED6862"/>
    <w:rsid w:val="00EE050B"/>
    <w:rsid w:val="00EE30E9"/>
    <w:rsid w:val="00EF26A1"/>
    <w:rsid w:val="00EF6486"/>
    <w:rsid w:val="00EF6563"/>
    <w:rsid w:val="00F011D7"/>
    <w:rsid w:val="00F01368"/>
    <w:rsid w:val="00F013AC"/>
    <w:rsid w:val="00F01C8E"/>
    <w:rsid w:val="00F04EC8"/>
    <w:rsid w:val="00F058E9"/>
    <w:rsid w:val="00F10D51"/>
    <w:rsid w:val="00F11473"/>
    <w:rsid w:val="00F13E35"/>
    <w:rsid w:val="00F1794E"/>
    <w:rsid w:val="00F255AE"/>
    <w:rsid w:val="00F36695"/>
    <w:rsid w:val="00F36AB3"/>
    <w:rsid w:val="00F418B7"/>
    <w:rsid w:val="00F41BAA"/>
    <w:rsid w:val="00F43706"/>
    <w:rsid w:val="00F56E85"/>
    <w:rsid w:val="00F60992"/>
    <w:rsid w:val="00F62794"/>
    <w:rsid w:val="00F62F37"/>
    <w:rsid w:val="00F646DE"/>
    <w:rsid w:val="00F64E28"/>
    <w:rsid w:val="00F650D9"/>
    <w:rsid w:val="00F676DF"/>
    <w:rsid w:val="00F7198D"/>
    <w:rsid w:val="00F7251B"/>
    <w:rsid w:val="00F75ECD"/>
    <w:rsid w:val="00F8019B"/>
    <w:rsid w:val="00F82DC8"/>
    <w:rsid w:val="00F874EF"/>
    <w:rsid w:val="00F876C5"/>
    <w:rsid w:val="00F918CC"/>
    <w:rsid w:val="00F91905"/>
    <w:rsid w:val="00FA4FF9"/>
    <w:rsid w:val="00FA59F1"/>
    <w:rsid w:val="00FA68AE"/>
    <w:rsid w:val="00FB150B"/>
    <w:rsid w:val="00FB31C8"/>
    <w:rsid w:val="00FB35C2"/>
    <w:rsid w:val="00FC01BA"/>
    <w:rsid w:val="00FC0B29"/>
    <w:rsid w:val="00FC3CC1"/>
    <w:rsid w:val="00FD1FE9"/>
    <w:rsid w:val="00FD3C4C"/>
    <w:rsid w:val="00FD5E2E"/>
    <w:rsid w:val="00FE4DC3"/>
    <w:rsid w:val="00FE5AB7"/>
    <w:rsid w:val="00FE6D6D"/>
    <w:rsid w:val="00FF2C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2"/>
    </o:shapelayout>
  </w:shapeDefaults>
  <w:decimalSymbol w:val=","/>
  <w:listSeparator w:val=";"/>
  <w14:docId w14:val="034D58A0"/>
  <w15:docId w15:val="{D78B7102-9B9F-48F4-ABE0-5A7AC11F5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20"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Thesis"/>
    <w:qFormat/>
    <w:rsid w:val="00841976"/>
    <w:pPr>
      <w:jc w:val="both"/>
    </w:pPr>
    <w:rPr>
      <w:rFonts w:ascii="Times New Roman" w:hAnsi="Times New Roman"/>
      <w:sz w:val="24"/>
    </w:rPr>
  </w:style>
  <w:style w:type="paragraph" w:styleId="berschrift1">
    <w:name w:val="heading 1"/>
    <w:basedOn w:val="Standard"/>
    <w:next w:val="Standard"/>
    <w:link w:val="berschrift1Zchn"/>
    <w:uiPriority w:val="9"/>
    <w:qFormat/>
    <w:rsid w:val="00E74182"/>
    <w:pPr>
      <w:spacing w:before="240"/>
      <w:outlineLvl w:val="0"/>
    </w:pPr>
    <w:rPr>
      <w:b/>
      <w:sz w:val="28"/>
    </w:rPr>
  </w:style>
  <w:style w:type="paragraph" w:styleId="berschrift2">
    <w:name w:val="heading 2"/>
    <w:basedOn w:val="Standard"/>
    <w:next w:val="Standard"/>
    <w:link w:val="berschrift2Zchn"/>
    <w:uiPriority w:val="9"/>
    <w:unhideWhenUsed/>
    <w:qFormat/>
    <w:rsid w:val="00B12A23"/>
    <w:pPr>
      <w:keepNext/>
      <w:keepLines/>
      <w:outlineLvl w:val="1"/>
    </w:pPr>
    <w:rPr>
      <w:rFonts w:eastAsiaTheme="majorEastAsia"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4182"/>
    <w:rPr>
      <w:rFonts w:ascii="Times New Roman" w:hAnsi="Times New Roman"/>
      <w:b/>
      <w:sz w:val="28"/>
    </w:rPr>
  </w:style>
  <w:style w:type="character" w:customStyle="1" w:styleId="berschrift2Zchn">
    <w:name w:val="Überschrift 2 Zchn"/>
    <w:basedOn w:val="Absatz-Standardschriftart"/>
    <w:link w:val="berschrift2"/>
    <w:uiPriority w:val="9"/>
    <w:rsid w:val="00B12A23"/>
    <w:rPr>
      <w:rFonts w:ascii="Times New Roman" w:eastAsiaTheme="majorEastAsia" w:hAnsi="Times New Roman" w:cstheme="majorBidi"/>
      <w:b/>
      <w:sz w:val="24"/>
      <w:szCs w:val="26"/>
    </w:rPr>
  </w:style>
  <w:style w:type="character" w:styleId="Hyperlink">
    <w:name w:val="Hyperlink"/>
    <w:basedOn w:val="Absatz-Standardschriftart"/>
    <w:uiPriority w:val="99"/>
    <w:unhideWhenUsed/>
    <w:rsid w:val="00566CF6"/>
    <w:rPr>
      <w:color w:val="0000FF"/>
      <w:u w:val="single"/>
    </w:rPr>
  </w:style>
  <w:style w:type="paragraph" w:styleId="Listenabsatz">
    <w:name w:val="List Paragraph"/>
    <w:basedOn w:val="Standard"/>
    <w:uiPriority w:val="34"/>
    <w:qFormat/>
    <w:rsid w:val="00D4267E"/>
    <w:pPr>
      <w:spacing w:after="160" w:line="259" w:lineRule="auto"/>
      <w:ind w:left="720" w:firstLine="0"/>
      <w:contextualSpacing/>
      <w:jc w:val="left"/>
    </w:pPr>
    <w:rPr>
      <w:rFonts w:asciiTheme="minorHAnsi" w:hAnsiTheme="minorHAnsi"/>
      <w:sz w:val="22"/>
    </w:rPr>
  </w:style>
  <w:style w:type="paragraph" w:styleId="Kopfzeile">
    <w:name w:val="header"/>
    <w:basedOn w:val="Standard"/>
    <w:link w:val="KopfzeileZchn"/>
    <w:uiPriority w:val="99"/>
    <w:unhideWhenUsed/>
    <w:rsid w:val="00E7670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7670E"/>
    <w:rPr>
      <w:rFonts w:ascii="Times New Roman" w:hAnsi="Times New Roman"/>
      <w:sz w:val="24"/>
    </w:rPr>
  </w:style>
  <w:style w:type="paragraph" w:styleId="Fuzeile">
    <w:name w:val="footer"/>
    <w:basedOn w:val="Standard"/>
    <w:link w:val="FuzeileZchn"/>
    <w:uiPriority w:val="99"/>
    <w:unhideWhenUsed/>
    <w:rsid w:val="00E7670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670E"/>
    <w:rPr>
      <w:rFonts w:ascii="Times New Roman" w:hAnsi="Times New Roman"/>
      <w:sz w:val="24"/>
    </w:rPr>
  </w:style>
  <w:style w:type="paragraph" w:styleId="Inhaltsverzeichnisberschrift">
    <w:name w:val="TOC Heading"/>
    <w:basedOn w:val="berschrift1"/>
    <w:next w:val="Standard"/>
    <w:uiPriority w:val="39"/>
    <w:unhideWhenUsed/>
    <w:qFormat/>
    <w:rsid w:val="002D07AA"/>
    <w:pPr>
      <w:keepNext/>
      <w:keepLines/>
      <w:spacing w:after="0" w:line="259" w:lineRule="auto"/>
      <w:ind w:firstLine="0"/>
      <w:jc w:val="left"/>
      <w:outlineLvl w:val="9"/>
    </w:pPr>
    <w:rPr>
      <w:rFonts w:asciiTheme="majorHAnsi" w:eastAsiaTheme="majorEastAsia" w:hAnsiTheme="majorHAnsi" w:cstheme="majorBidi"/>
      <w:b w:val="0"/>
      <w:color w:val="2F5496" w:themeColor="accent1" w:themeShade="BF"/>
      <w:kern w:val="0"/>
      <w:sz w:val="32"/>
      <w:szCs w:val="32"/>
      <w:lang w:eastAsia="de-DE"/>
    </w:rPr>
  </w:style>
  <w:style w:type="paragraph" w:styleId="Verzeichnis1">
    <w:name w:val="toc 1"/>
    <w:basedOn w:val="Standard"/>
    <w:next w:val="Standard"/>
    <w:autoRedefine/>
    <w:uiPriority w:val="39"/>
    <w:unhideWhenUsed/>
    <w:rsid w:val="0029000D"/>
    <w:pPr>
      <w:tabs>
        <w:tab w:val="right" w:leader="dot" w:pos="9062"/>
      </w:tabs>
      <w:spacing w:before="120"/>
      <w:jc w:val="left"/>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B13AED"/>
    <w:pPr>
      <w:spacing w:after="0"/>
      <w:ind w:left="240"/>
      <w:jc w:val="left"/>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2D07AA"/>
    <w:pPr>
      <w:spacing w:after="0"/>
      <w:ind w:left="480"/>
      <w:jc w:val="left"/>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AE26EB"/>
    <w:pPr>
      <w:spacing w:after="0"/>
      <w:ind w:left="720"/>
      <w:jc w:val="left"/>
    </w:pPr>
    <w:rPr>
      <w:rFonts w:asciiTheme="minorHAnsi" w:hAnsiTheme="minorHAnsi" w:cstheme="minorHAnsi"/>
      <w:sz w:val="18"/>
      <w:szCs w:val="18"/>
    </w:rPr>
  </w:style>
  <w:style w:type="paragraph" w:styleId="Verzeichnis5">
    <w:name w:val="toc 5"/>
    <w:basedOn w:val="Standard"/>
    <w:next w:val="Standard"/>
    <w:autoRedefine/>
    <w:uiPriority w:val="39"/>
    <w:unhideWhenUsed/>
    <w:rsid w:val="00AE26EB"/>
    <w:pPr>
      <w:spacing w:after="0"/>
      <w:ind w:left="960"/>
      <w:jc w:val="left"/>
    </w:pPr>
    <w:rPr>
      <w:rFonts w:asciiTheme="minorHAnsi" w:hAnsiTheme="minorHAnsi" w:cstheme="minorHAnsi"/>
      <w:sz w:val="18"/>
      <w:szCs w:val="18"/>
    </w:rPr>
  </w:style>
  <w:style w:type="paragraph" w:styleId="Verzeichnis6">
    <w:name w:val="toc 6"/>
    <w:basedOn w:val="Standard"/>
    <w:next w:val="Standard"/>
    <w:autoRedefine/>
    <w:uiPriority w:val="39"/>
    <w:unhideWhenUsed/>
    <w:rsid w:val="00AE26EB"/>
    <w:pPr>
      <w:spacing w:after="0"/>
      <w:ind w:left="1200"/>
      <w:jc w:val="left"/>
    </w:pPr>
    <w:rPr>
      <w:rFonts w:asciiTheme="minorHAnsi" w:hAnsiTheme="minorHAnsi" w:cstheme="minorHAnsi"/>
      <w:sz w:val="18"/>
      <w:szCs w:val="18"/>
    </w:rPr>
  </w:style>
  <w:style w:type="paragraph" w:styleId="Verzeichnis7">
    <w:name w:val="toc 7"/>
    <w:basedOn w:val="Standard"/>
    <w:next w:val="Standard"/>
    <w:autoRedefine/>
    <w:uiPriority w:val="39"/>
    <w:unhideWhenUsed/>
    <w:rsid w:val="00AE26EB"/>
    <w:pPr>
      <w:spacing w:after="0"/>
      <w:ind w:left="1440"/>
      <w:jc w:val="left"/>
    </w:pPr>
    <w:rPr>
      <w:rFonts w:asciiTheme="minorHAnsi" w:hAnsiTheme="minorHAnsi" w:cstheme="minorHAnsi"/>
      <w:sz w:val="18"/>
      <w:szCs w:val="18"/>
    </w:rPr>
  </w:style>
  <w:style w:type="paragraph" w:styleId="Verzeichnis8">
    <w:name w:val="toc 8"/>
    <w:basedOn w:val="Standard"/>
    <w:next w:val="Standard"/>
    <w:autoRedefine/>
    <w:uiPriority w:val="39"/>
    <w:unhideWhenUsed/>
    <w:rsid w:val="00AE26EB"/>
    <w:pPr>
      <w:spacing w:after="0"/>
      <w:ind w:left="1680"/>
      <w:jc w:val="left"/>
    </w:pPr>
    <w:rPr>
      <w:rFonts w:asciiTheme="minorHAnsi" w:hAnsiTheme="minorHAnsi" w:cstheme="minorHAnsi"/>
      <w:sz w:val="18"/>
      <w:szCs w:val="18"/>
    </w:rPr>
  </w:style>
  <w:style w:type="paragraph" w:styleId="Verzeichnis9">
    <w:name w:val="toc 9"/>
    <w:basedOn w:val="Standard"/>
    <w:next w:val="Standard"/>
    <w:autoRedefine/>
    <w:uiPriority w:val="39"/>
    <w:unhideWhenUsed/>
    <w:rsid w:val="00AE26EB"/>
    <w:pPr>
      <w:spacing w:after="0"/>
      <w:ind w:left="1920"/>
      <w:jc w:val="left"/>
    </w:pPr>
    <w:rPr>
      <w:rFonts w:asciiTheme="minorHAnsi" w:hAnsiTheme="minorHAnsi" w:cstheme="minorHAnsi"/>
      <w:sz w:val="18"/>
      <w:szCs w:val="18"/>
    </w:rPr>
  </w:style>
  <w:style w:type="paragraph" w:styleId="Beschriftung">
    <w:name w:val="caption"/>
    <w:basedOn w:val="Standard"/>
    <w:next w:val="Standard"/>
    <w:uiPriority w:val="35"/>
    <w:unhideWhenUsed/>
    <w:qFormat/>
    <w:rsid w:val="00DF2CF2"/>
    <w:pPr>
      <w:spacing w:after="200" w:line="240" w:lineRule="auto"/>
    </w:pPr>
    <w:rPr>
      <w:i/>
      <w:iCs/>
      <w:color w:val="44546A" w:themeColor="text2"/>
      <w:sz w:val="18"/>
      <w:szCs w:val="18"/>
    </w:rPr>
  </w:style>
  <w:style w:type="table" w:styleId="Tabellenraster">
    <w:name w:val="Table Grid"/>
    <w:basedOn w:val="NormaleTabelle"/>
    <w:uiPriority w:val="39"/>
    <w:rsid w:val="00C96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9A0FFF"/>
    <w:rPr>
      <w:color w:val="954F72" w:themeColor="followedHyperlink"/>
      <w:u w:val="single"/>
    </w:rPr>
  </w:style>
  <w:style w:type="character" w:styleId="NichtaufgelsteErwhnung">
    <w:name w:val="Unresolved Mention"/>
    <w:basedOn w:val="Absatz-Standardschriftart"/>
    <w:uiPriority w:val="99"/>
    <w:semiHidden/>
    <w:unhideWhenUsed/>
    <w:rsid w:val="00A75FB5"/>
    <w:rPr>
      <w:color w:val="605E5C"/>
      <w:shd w:val="clear" w:color="auto" w:fill="E1DFDD"/>
    </w:rPr>
  </w:style>
  <w:style w:type="paragraph" w:styleId="Abbildungsverzeichnis">
    <w:name w:val="table of figures"/>
    <w:basedOn w:val="Standard"/>
    <w:next w:val="Standard"/>
    <w:uiPriority w:val="99"/>
    <w:unhideWhenUsed/>
    <w:rsid w:val="00123E94"/>
    <w:pPr>
      <w:spacing w:after="0"/>
      <w:ind w:left="480" w:hanging="480"/>
      <w:jc w:val="left"/>
    </w:pPr>
    <w:rPr>
      <w:rFonts w:asciiTheme="minorHAnsi" w:hAnsiTheme="minorHAnsi" w:cstheme="minorHAnsi"/>
      <w:b/>
      <w:bCs/>
      <w:sz w:val="20"/>
      <w:szCs w:val="20"/>
    </w:rPr>
  </w:style>
  <w:style w:type="character" w:styleId="Fett">
    <w:name w:val="Strong"/>
    <w:basedOn w:val="Absatz-Standardschriftart"/>
    <w:uiPriority w:val="22"/>
    <w:qFormat/>
    <w:rsid w:val="00A73DA7"/>
    <w:rPr>
      <w:b/>
      <w:bCs/>
    </w:rPr>
  </w:style>
  <w:style w:type="character" w:styleId="Kommentarzeichen">
    <w:name w:val="annotation reference"/>
    <w:basedOn w:val="Absatz-Standardschriftart"/>
    <w:uiPriority w:val="99"/>
    <w:semiHidden/>
    <w:unhideWhenUsed/>
    <w:rsid w:val="008E701A"/>
    <w:rPr>
      <w:sz w:val="16"/>
      <w:szCs w:val="16"/>
    </w:rPr>
  </w:style>
  <w:style w:type="paragraph" w:styleId="Kommentartext">
    <w:name w:val="annotation text"/>
    <w:basedOn w:val="Standard"/>
    <w:link w:val="KommentartextZchn"/>
    <w:uiPriority w:val="99"/>
    <w:unhideWhenUsed/>
    <w:rsid w:val="008E701A"/>
    <w:pPr>
      <w:spacing w:line="240" w:lineRule="auto"/>
    </w:pPr>
    <w:rPr>
      <w:sz w:val="20"/>
      <w:szCs w:val="20"/>
    </w:rPr>
  </w:style>
  <w:style w:type="character" w:customStyle="1" w:styleId="KommentartextZchn">
    <w:name w:val="Kommentartext Zchn"/>
    <w:basedOn w:val="Absatz-Standardschriftart"/>
    <w:link w:val="Kommentartext"/>
    <w:uiPriority w:val="99"/>
    <w:rsid w:val="008E701A"/>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E701A"/>
    <w:rPr>
      <w:b/>
      <w:bCs/>
    </w:rPr>
  </w:style>
  <w:style w:type="character" w:customStyle="1" w:styleId="KommentarthemaZchn">
    <w:name w:val="Kommentarthema Zchn"/>
    <w:basedOn w:val="KommentartextZchn"/>
    <w:link w:val="Kommentarthema"/>
    <w:uiPriority w:val="99"/>
    <w:semiHidden/>
    <w:rsid w:val="008E701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3595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www.itb.com/de/besuchen/itb-kongress/itb-kongressprogramm/"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gstcouncil.org/" TargetMode="External"/><Relationship Id="rId2" Type="http://schemas.openxmlformats.org/officeDocument/2006/relationships/numbering" Target="numbering.xml"/><Relationship Id="rId16" Type="http://schemas.openxmlformats.org/officeDocument/2006/relationships/hyperlink" Target="https://bhutan.travel/"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g"/><Relationship Id="rId22"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DE518-3270-4146-9B6B-91A3527AF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23838</Words>
  <Characters>150182</Characters>
  <Application>Microsoft Office Word</Application>
  <DocSecurity>0</DocSecurity>
  <Lines>1251</Lines>
  <Paragraphs>347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Leidel</dc:creator>
  <cp:keywords/>
  <dc:description/>
  <cp:lastModifiedBy>Dana Leidel</cp:lastModifiedBy>
  <cp:revision>123</cp:revision>
  <dcterms:created xsi:type="dcterms:W3CDTF">2023-08-14T18:16:00Z</dcterms:created>
  <dcterms:modified xsi:type="dcterms:W3CDTF">2023-08-29T17:59:00Z</dcterms:modified>
</cp:coreProperties>
</file>